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pPr>
      <w:r>
        <w:rPr>
          <w:rFonts w:ascii="Calibri" w:cs="Calibri" w:eastAsia="Calibri" w:hAnsi="Calibri"/>
          <w:b/>
          <w:bCs/>
          <w:color w:val="B37F12"/>
          <w:sz w:val="18"/>
          <w:szCs w:val="18"/>
        </w:rPr>
        <w:t xml:space="preserve">OUTIL G24 · MON ASSO CULTUELLE</w:t>
      </w:r>
    </w:p>
    <w:p>
      <w:pPr>
        <w:pStyle w:val="Heading1"/>
        <w:spacing w:after="120"/>
      </w:pPr>
      <w:r>
        <w:rPr>
          <w:rFonts w:ascii="Calibri" w:cs="Calibri" w:eastAsia="Calibri" w:hAnsi="Calibri"/>
          <w:b/>
          <w:bCs/>
          <w:color w:val="082B50"/>
          <w:sz w:val="36"/>
          <w:szCs w:val="36"/>
        </w:rPr>
        <w:t xml:space="preserve">Mention en annexe : la rubrique « Autres fonds propres » (règlement ANC n° 2024-07)</w:t>
      </w:r>
    </w:p>
    <w:p>
      <w:pPr>
        <w:spacing w:after="160" w:before="0"/>
      </w:pPr>
      <w:r>
        <w:rPr>
          <w:rFonts w:ascii="Calibri" w:cs="Calibri" w:eastAsia="Calibri" w:hAnsi="Calibri"/>
          <w:sz w:val="21"/>
          <w:szCs w:val="21"/>
        </w:rPr>
        <w:t xml:space="preserve">Deux textes courts à recopier dans l’annexe de vos comptes 2026. Choisissez la variante qui correspond à votre bilan.</w:t>
      </w: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9638"/>
      </w:tblGrid>
      <w:tr>
        <w:tc>
          <w:tcPr>
            <w:tcW w:type="dxa" w:w="9638"/>
            <w:tcBorders>
              <w:top w:val="none" w:color="FFFFFF" w:sz="0"/>
              <w:left w:val="single" w:color="E0A52B" w:sz="24"/>
              <w:bottom w:val="none" w:color="FFFFFF" w:sz="0"/>
              <w:right w:val="none" w:color="FFFFFF" w:sz="0"/>
            </w:tcBorders>
            <w:shd w:fill="FDF4E1" w:color="auto" w:val="clear"/>
            <w:tcMar>
              <w:top w:type="dxa" w:w="120"/>
              <w:left w:type="dxa" w:w="200"/>
              <w:bottom w:type="dxa" w:w="120"/>
              <w:right w:type="dxa" w:w="200"/>
            </w:tcMar>
          </w:tcPr>
          <w:p>
            <w:pPr>
              <w:spacing w:after="60" w:before="0"/>
            </w:pPr>
            <w:r>
              <w:rPr>
                <w:rFonts w:ascii="Calibri" w:cs="Calibri" w:eastAsia="Calibri" w:hAnsi="Calibri"/>
                <w:b/>
                <w:bCs/>
                <w:color w:val="082B50"/>
                <w:sz w:val="21"/>
                <w:szCs w:val="21"/>
              </w:rPr>
              <w:t xml:space="preserve">Mode d’emploi</w:t>
            </w:r>
          </w:p>
          <w:p>
            <w:pPr>
              <w:pStyle w:val="ListParagraph"/>
              <w:numPr>
                <w:ilvl w:val="0"/>
                <w:numId w:val="2"/>
              </w:numPr>
              <w:spacing w:after="40" w:before="0"/>
            </w:pPr>
            <w:r>
              <w:rPr>
                <w:rFonts w:ascii="Calibri" w:cs="Calibri" w:eastAsia="Calibri" w:hAnsi="Calibri"/>
                <w:sz w:val="21"/>
                <w:szCs w:val="21"/>
              </w:rPr>
              <w:t xml:space="preserve">Regardez votre passif (outil G23) : la rubrique « Autres fonds propres » est-elle présentée ?</w:t>
            </w:r>
          </w:p>
          <w:p>
            <w:pPr>
              <w:pStyle w:val="ListParagraph"/>
              <w:numPr>
                <w:ilvl w:val="0"/>
                <w:numId w:val="2"/>
              </w:numPr>
              <w:spacing w:after="40" w:before="0"/>
            </w:pPr>
            <w:r>
              <w:rPr>
                <w:rFonts w:ascii="Calibri" w:cs="Calibri" w:eastAsia="Calibri" w:hAnsi="Calibri"/>
                <w:sz w:val="21"/>
                <w:szCs w:val="21"/>
              </w:rPr>
              <w:t xml:space="preserve">Oui : recopiez la variante 1. Non, parce qu’elle n’a aucun montant ni en 2026 ni en 2025 : la variante 2.</w:t>
            </w:r>
          </w:p>
          <w:p>
            <w:pPr>
              <w:pStyle w:val="ListParagraph"/>
              <w:numPr>
                <w:ilvl w:val="0"/>
                <w:numId w:val="2"/>
              </w:numPr>
              <w:spacing w:after="40" w:before="0"/>
            </w:pPr>
            <w:r>
              <w:rPr>
                <w:rFonts w:ascii="Calibri" w:cs="Calibri" w:eastAsia="Calibri" w:hAnsi="Calibri"/>
                <w:sz w:val="21"/>
                <w:szCs w:val="21"/>
              </w:rPr>
              <w:t xml:space="preserve">Complétez les passages entre crochets et supprimez les options inutiles.</w:t>
            </w:r>
          </w:p>
          <w:p>
            <w:pPr>
              <w:pStyle w:val="ListParagraph"/>
              <w:numPr>
                <w:ilvl w:val="0"/>
                <w:numId w:val="2"/>
              </w:numPr>
              <w:spacing w:after="40" w:before="0"/>
            </w:pPr>
            <w:r>
              <w:rPr>
                <w:rFonts w:ascii="Calibri" w:cs="Calibri" w:eastAsia="Calibri" w:hAnsi="Calibri"/>
                <w:sz w:val="21"/>
                <w:szCs w:val="21"/>
              </w:rPr>
              <w:t xml:space="preserve">Placez le texte dans la partie « Règles et méthodes comptables » de l’annexe.</w:t>
            </w:r>
          </w:p>
          <w:p>
            <w:pPr>
              <w:pStyle w:val="ListParagraph"/>
              <w:numPr>
                <w:ilvl w:val="0"/>
                <w:numId w:val="2"/>
              </w:numPr>
              <w:spacing w:after="0" w:before="0"/>
            </w:pPr>
            <w:r>
              <w:rPr>
                <w:rFonts w:ascii="Calibri" w:cs="Calibri" w:eastAsia="Calibri" w:hAnsi="Calibri"/>
                <w:sz w:val="21"/>
                <w:szCs w:val="21"/>
              </w:rPr>
              <w:t xml:space="preserve">Faites relire par votre expert-comptable ou votre commissaire aux comptes avant l’arrêté des comptes.</w:t>
            </w:r>
          </w:p>
        </w:tc>
      </w:tr>
    </w:tbl>
    <w:p>
      <w:pPr>
        <w:pStyle w:val="Heading2"/>
        <w:pBdr>
          <w:bottom w:val="single" w:color="E0A52B" w:sz="8" w:space="4"/>
        </w:pBdr>
        <w:spacing w:after="120" w:before="280"/>
      </w:pPr>
      <w:r>
        <w:rPr>
          <w:rFonts w:ascii="Calibri" w:cs="Calibri" w:eastAsia="Calibri" w:hAnsi="Calibri"/>
          <w:b/>
          <w:bCs/>
          <w:color w:val="082B50"/>
          <w:sz w:val="28"/>
          <w:szCs w:val="28"/>
        </w:rPr>
        <w:t xml:space="preserve">Variante 1 — La rubrique « Autres fonds propres » est présentée au bilan</w:t>
      </w:r>
    </w:p>
    <w:p>
      <w:pPr>
        <w:spacing w:after="120" w:before="0"/>
      </w:pPr>
      <w:r>
        <w:rPr>
          <w:rFonts w:ascii="Calibri" w:cs="Calibri" w:eastAsia="Calibri" w:hAnsi="Calibri"/>
          <w:sz w:val="21"/>
          <w:szCs w:val="21"/>
        </w:rPr>
        <w:t xml:space="preserve">C’est un changement de méthode de présentation. Il résulte d’un changement de réglementation : il n’a pas à être justifié, mais il doit être mentionné.</w:t>
      </w: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9638"/>
      </w:tblGrid>
      <w:tr>
        <w:tc>
          <w:tcPr>
            <w:tcW w:type="dxa" w:w="9638"/>
            <w:tcBorders>
              <w:top w:val="none" w:color="FFFFFF" w:sz="0"/>
              <w:left w:val="single" w:color="E0A52B" w:sz="24"/>
              <w:bottom w:val="none" w:color="FFFFFF" w:sz="0"/>
              <w:right w:val="none" w:color="FFFFFF" w:sz="0"/>
            </w:tcBorders>
            <w:shd w:fill="F6F8FA" w:color="auto" w:val="clear"/>
            <w:tcMar>
              <w:top w:type="dxa" w:w="120"/>
              <w:left w:type="dxa" w:w="200"/>
              <w:bottom w:type="dxa" w:w="120"/>
              <w:right w:type="dxa" w:w="200"/>
            </w:tcMar>
          </w:tcPr>
          <w:p>
            <w:pPr>
              <w:spacing w:after="60" w:before="0"/>
            </w:pPr>
            <w:r>
              <w:rPr>
                <w:rFonts w:ascii="Calibri" w:cs="Calibri" w:eastAsia="Calibri" w:hAnsi="Calibri"/>
                <w:b/>
                <w:bCs/>
                <w:color w:val="082B50"/>
                <w:sz w:val="21"/>
                <w:szCs w:val="21"/>
              </w:rPr>
              <w:t xml:space="preserve">Changement de méthode comptable</w:t>
            </w:r>
          </w:p>
          <w:p>
            <w:pPr>
              <w:spacing w:after="80" w:before="0"/>
            </w:pPr>
            <w:r>
              <w:rPr>
                <w:rFonts w:ascii="Calibri" w:cs="Calibri" w:eastAsia="Calibri" w:hAnsi="Calibri"/>
                <w:i/>
                <w:iCs/>
                <w:sz w:val="21"/>
                <w:szCs w:val="21"/>
              </w:rPr>
              <w:t xml:space="preserve">« À compter de l’exercice ouvert le [1er janvier 2026], l’association applique le règlement ANC n° 2024-07 du 6 décembre 2024 relatif à la distinction dettes – autres fonds propres. Ce règlement modifie le modèle de bilan du règlement ANC n° 2018-06.</w:t>
            </w:r>
          </w:p>
          <w:p>
            <w:pPr>
              <w:spacing w:after="80" w:before="0"/>
            </w:pPr>
            <w:r>
              <w:rPr>
                <w:rFonts w:ascii="Calibri" w:cs="Calibri" w:eastAsia="Calibri" w:hAnsi="Calibri"/>
                <w:i/>
                <w:iCs/>
                <w:sz w:val="21"/>
                <w:szCs w:val="21"/>
              </w:rPr>
              <w:t xml:space="preserve">Le passif comporte désormais une rubrique « Autres fonds propres », placée entre les fonds propres et les fonds reportés et dédiés. Elle regroupe les fonds non remboursables, les avances conditionnées et les droits du concédant. Les totaux du passif sont renumérotés en conséquence.</w:t>
            </w:r>
          </w:p>
          <w:p>
            <w:pPr>
              <w:spacing w:after="80" w:before="0"/>
            </w:pPr>
            <w:r>
              <w:rPr>
                <w:rFonts w:ascii="Calibri" w:cs="Calibri" w:eastAsia="Calibri" w:hAnsi="Calibri"/>
                <w:i/>
                <w:iCs/>
                <w:sz w:val="21"/>
                <w:szCs w:val="21"/>
              </w:rPr>
              <w:t xml:space="preserve">Ce changement de méthode de présentation résulte d’un changement de réglementation comptable. Il s’impose à l’association (plan comptable général, art. 122-1).</w:t>
            </w:r>
          </w:p>
          <w:p>
            <w:pPr>
              <w:spacing w:after="40" w:before="60"/>
            </w:pPr>
            <w:r>
              <w:rPr>
                <w:rFonts w:ascii="Calibri" w:cs="Calibri" w:eastAsia="Calibri" w:hAnsi="Calibri"/>
                <w:b/>
                <w:bCs/>
                <w:color w:val="0B3A6E"/>
                <w:sz w:val="21"/>
                <w:szCs w:val="21"/>
              </w:rPr>
              <w:t xml:space="preserve">Option A — aucun montant</w:t>
            </w:r>
          </w:p>
          <w:p>
            <w:pPr>
              <w:spacing w:after="80" w:before="0"/>
            </w:pPr>
            <w:r>
              <w:rPr>
                <w:rFonts w:ascii="Calibri" w:cs="Calibri" w:eastAsia="Calibri" w:hAnsi="Calibri"/>
                <w:i/>
                <w:iCs/>
                <w:sz w:val="21"/>
                <w:szCs w:val="21"/>
              </w:rPr>
              <w:t xml:space="preserve">L’association ne détient aucun élément de cette nature au [31 décembre 2026] ni au [31 décembre 2025]. La rubrique est présentée pour un montant nul. Le changement est sans incidence sur le résultat, les fonds propres et le total du bilan. »</w:t>
            </w:r>
          </w:p>
          <w:p>
            <w:pPr>
              <w:spacing w:after="40" w:before="60"/>
            </w:pPr>
            <w:r>
              <w:rPr>
                <w:rFonts w:ascii="Calibri" w:cs="Calibri" w:eastAsia="Calibri" w:hAnsi="Calibri"/>
                <w:b/>
                <w:bCs/>
                <w:color w:val="0B3A6E"/>
                <w:sz w:val="21"/>
                <w:szCs w:val="21"/>
              </w:rPr>
              <w:t xml:space="preserve">Option B — des montants existent</w:t>
            </w:r>
          </w:p>
          <w:p>
            <w:pPr>
              <w:spacing w:after="80" w:before="0"/>
            </w:pPr>
            <w:r>
              <w:rPr>
                <w:rFonts w:ascii="Calibri" w:cs="Calibri" w:eastAsia="Calibri" w:hAnsi="Calibri"/>
                <w:i/>
                <w:iCs/>
                <w:sz w:val="21"/>
                <w:szCs w:val="21"/>
              </w:rPr>
              <w:t xml:space="preserve">Au [31 décembre 2026], la rubrique comprend [nature de l’élément, par exemple : une avance conditionnée accordée par … pour le projet …] pour [montant] €. À l’ouverture de l’exercice, [montant] € figurant jusqu’ici en [poste d’origine, par exemple : « Emprunts et dettes financières diverses »] ont été reclassés en [« Fonds non remboursables » / « Avances conditionnées »]. [Les montants de l’exercice précédent sont présentés selon la nouvelle structure pour permettre la comparaison.] Ce reclassement est sans incidence sur le résultat et sur les fonds propres. »</w:t>
            </w:r>
          </w:p>
        </w:tc>
      </w:tr>
    </w:tbl>
    <w:p>
      <w:pPr>
        <w:pStyle w:val="Heading2"/>
        <w:pBdr>
          <w:bottom w:val="single" w:color="E0A52B" w:sz="8" w:space="4"/>
        </w:pBdr>
        <w:spacing w:after="120" w:before="280"/>
      </w:pPr>
      <w:r>
        <w:rPr>
          <w:rFonts w:ascii="Calibri" w:cs="Calibri" w:eastAsia="Calibri" w:hAnsi="Calibri"/>
          <w:b/>
          <w:bCs/>
          <w:color w:val="082B50"/>
          <w:sz w:val="28"/>
          <w:szCs w:val="28"/>
        </w:rPr>
        <w:t xml:space="preserve">Variante 2 — La rubrique n’est pas présentée (aucun montant)</w:t>
      </w:r>
    </w:p>
    <w:p>
      <w:pPr>
        <w:spacing w:after="120" w:before="0"/>
      </w:pPr>
      <w:r>
        <w:rPr>
          <w:rFonts w:ascii="Calibri" w:cs="Calibri" w:eastAsia="Calibri" w:hAnsi="Calibri"/>
          <w:sz w:val="21"/>
          <w:szCs w:val="21"/>
        </w:rPr>
        <w:t xml:space="preserve">Le plan comptable général permet de ne pas mentionner un poste qui ne comporte aucun montant, ni pour l’exercice ni pour l’exercice précédent (art. 811-3). La présentation du bilan ne change pas. La mention ci-dessous est facultative : elle répond par avance à la question du lecteur.</w:t>
      </w:r>
    </w:p>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9638"/>
      </w:tblGrid>
      <w:tr>
        <w:tc>
          <w:tcPr>
            <w:tcW w:type="dxa" w:w="9638"/>
            <w:tcBorders>
              <w:top w:val="none" w:color="FFFFFF" w:sz="0"/>
              <w:left w:val="single" w:color="E0A52B" w:sz="24"/>
              <w:bottom w:val="none" w:color="FFFFFF" w:sz="0"/>
              <w:right w:val="none" w:color="FFFFFF" w:sz="0"/>
            </w:tcBorders>
            <w:shd w:fill="F6F8FA" w:color="auto" w:val="clear"/>
            <w:tcMar>
              <w:top w:type="dxa" w:w="120"/>
              <w:left w:type="dxa" w:w="200"/>
              <w:bottom w:type="dxa" w:w="120"/>
              <w:right w:type="dxa" w:w="200"/>
            </w:tcMar>
          </w:tcPr>
          <w:p>
            <w:pPr>
              <w:spacing w:after="60" w:before="0"/>
            </w:pPr>
            <w:r>
              <w:rPr>
                <w:rFonts w:ascii="Calibri" w:cs="Calibri" w:eastAsia="Calibri" w:hAnsi="Calibri"/>
                <w:b/>
                <w:bCs/>
                <w:color w:val="082B50"/>
                <w:sz w:val="21"/>
                <w:szCs w:val="21"/>
              </w:rPr>
              <w:t xml:space="preserve">Information sur le règlement ANC n° 2024-07 (facultative)</w:t>
            </w:r>
          </w:p>
          <w:p>
            <w:pPr>
              <w:spacing w:after="80" w:before="0"/>
            </w:pPr>
            <w:r>
              <w:rPr>
                <w:rFonts w:ascii="Calibri" w:cs="Calibri" w:eastAsia="Calibri" w:hAnsi="Calibri"/>
                <w:i/>
                <w:iCs/>
                <w:sz w:val="21"/>
                <w:szCs w:val="21"/>
              </w:rPr>
              <w:t xml:space="preserve">« Le règlement ANC n° 2024-07 du 6 décembre 2024, applicable aux exercices ouverts à compter du 1er janvier 2026, crée une rubrique « Autres fonds propres » au passif du bilan. L’association ne détient aucun élément de cette nature, ni pour l’exercice ni pour l’exercice précédent. Cette rubrique n’est donc pas présentée (plan comptable général, art. 811-3). La présentation du bilan est inchangée. »</w:t>
            </w:r>
          </w:p>
        </w:tc>
      </w:tr>
    </w:tbl>
    <w:p>
      <w:pPr>
        <w:pStyle w:val="Heading2"/>
        <w:pBdr>
          <w:bottom w:val="single" w:color="E0A52B" w:sz="8" w:space="4"/>
        </w:pBdr>
        <w:spacing w:after="120" w:before="280"/>
      </w:pPr>
      <w:r>
        <w:rPr>
          <w:rFonts w:ascii="Calibri" w:cs="Calibri" w:eastAsia="Calibri" w:hAnsi="Calibri"/>
          <w:b/>
          <w:bCs/>
          <w:color w:val="082B50"/>
          <w:sz w:val="28"/>
          <w:szCs w:val="28"/>
        </w:rPr>
        <w:t xml:space="preserve">À vérifier avant de recopier</w:t>
      </w:r>
    </w:p>
    <w:p>
      <w:pPr>
        <w:pStyle w:val="ListParagraph"/>
        <w:numPr>
          <w:ilvl w:val="0"/>
          <w:numId w:val="2"/>
        </w:numPr>
        <w:spacing w:after="40" w:before="0"/>
      </w:pPr>
      <w:r>
        <w:rPr>
          <w:rFonts w:ascii="Calibri" w:cs="Calibri" w:eastAsia="Calibri" w:hAnsi="Calibri"/>
          <w:sz w:val="21"/>
          <w:szCs w:val="21"/>
        </w:rPr>
        <w:t xml:space="preserve">Les comptes 1024 et 1034 « Autres fonds propres sans / avec droit de reprise » restent dans la rubrique « Fonds propres ». Malgré leur nom, ils ne vont pas dans la nouvelle rubrique.</w:t>
      </w:r>
    </w:p>
    <w:p>
      <w:pPr>
        <w:pStyle w:val="ListParagraph"/>
        <w:numPr>
          <w:ilvl w:val="0"/>
          <w:numId w:val="2"/>
        </w:numPr>
        <w:spacing w:after="40" w:before="0"/>
      </w:pPr>
      <w:r>
        <w:rPr>
          <w:rFonts w:ascii="Calibri" w:cs="Calibri" w:eastAsia="Calibri" w:hAnsi="Calibri"/>
          <w:sz w:val="21"/>
          <w:szCs w:val="21"/>
        </w:rPr>
        <w:t xml:space="preserve">Un emprunt bancaire, un prêt d’une église de la même union ou d’un membre, une dette de legs restent des dettes.</w:t>
      </w:r>
    </w:p>
    <w:p>
      <w:pPr>
        <w:pStyle w:val="ListParagraph"/>
        <w:numPr>
          <w:ilvl w:val="0"/>
          <w:numId w:val="2"/>
        </w:numPr>
        <w:spacing w:after="40" w:before="0"/>
      </w:pPr>
      <w:r>
        <w:rPr>
          <w:rFonts w:ascii="Calibri" w:cs="Calibri" w:eastAsia="Calibri" w:hAnsi="Calibri"/>
          <w:sz w:val="21"/>
          <w:szCs w:val="21"/>
        </w:rPr>
        <w:t xml:space="preserve">Le choix de présentation se fait une fois, avec votre professionnel, puis reste le même d’un exercice à l’autre (permanence des méthodes).</w:t>
      </w:r>
    </w:p>
    <w:p>
      <w:pPr>
        <w:pStyle w:val="ListParagraph"/>
        <w:numPr>
          <w:ilvl w:val="0"/>
          <w:numId w:val="2"/>
        </w:numPr>
        <w:spacing w:after="120" w:before="0"/>
      </w:pPr>
      <w:r>
        <w:rPr>
          <w:rFonts w:ascii="Calibri" w:cs="Calibri" w:eastAsia="Calibri" w:hAnsi="Calibri"/>
          <w:sz w:val="21"/>
          <w:szCs w:val="21"/>
        </w:rPr>
        <w:t xml:space="preserve">Besoin d’un avis sur votre situation : monassocultuelle.com/besoin-professionnel</w:t>
      </w:r>
    </w:p>
    <w:p>
      <w:pPr>
        <w:spacing w:after="100" w:before="200"/>
      </w:pPr>
      <w:r>
        <w:rPr>
          <w:rFonts w:ascii="Calibri" w:cs="Calibri" w:eastAsia="Calibri" w:hAnsi="Calibri"/>
          <w:color w:val="6B7280"/>
          <w:sz w:val="17"/>
          <w:szCs w:val="17"/>
        </w:rPr>
        <w:t xml:space="preserve">Textes : règlement ANC n° 2024-07 du 6 décembre 2024, art. 5 et 6 (arrêté d’homologation du 26 décembre 2025, JO du 27 décembre 2025) ; règlement ANC n° 2018-06, art. 111-2, 421-1 et 431-5 ; plan comptable général, art. 122-1, 314-1 à 316-1, 811-3 et 831-2.</w:t>
      </w:r>
    </w:p>
    <w:p>
      <w:pPr>
        <w:spacing w:after="100" w:before="80"/>
      </w:pPr>
      <w:r>
        <w:rPr>
          <w:rFonts w:ascii="Calibri" w:cs="Calibri" w:eastAsia="Calibri" w:hAnsi="Calibri"/>
          <w:i/>
          <w:iCs/>
          <w:color w:val="6B7280"/>
          <w:sz w:val="17"/>
          <w:szCs w:val="17"/>
        </w:rPr>
        <w:t xml:space="preserve">Modèle fourni à titre indicatif, à adapter à votre situation. Ne constitue pas une consultation individualisée. Textes vérifiés le 1er octobre 2026.</w:t>
      </w:r>
    </w:p>
    <w:sectPr>
      <w:footerReference w:type="default" r:id="rId7"/>
      <w:pgSz w:w="11906" w:h="16838" w:orient="portrait"/>
      <w:pgMar w:top="1134" w:right="1134" w:bottom="1134" w:left="1134"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6B7280"/>
        <w:sz w:val="15"/>
        <w:szCs w:val="15"/>
      </w:rPr>
      <w:t xml:space="preserve">Samuel PETE — Mon Asso Cultuelle — G24 Mention en annexe ANC 2024-07 — version 2026-10 — monassocultuelle.com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360" w:hanging="24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1"/>
        <w:szCs w:val="21"/>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G24 — Mention en annexe sur le changement de méthode (règlement ANC n° 2024-07)</dc:title>
  <dc:creator>Samuel PETE</dc:creator>
  <cp:lastModifiedBy>Un-named</cp:lastModifiedBy>
  <cp:revision>1</cp:revision>
  <dcterms:created xsi:type="dcterms:W3CDTF">2026-10-01T09:34:44.350Z</dcterms:created>
  <dcterms:modified xsi:type="dcterms:W3CDTF">2026-10-01T09:34:44.351Z</dcterms:modified>
</cp:coreProperties>
</file>

<file path=docProps/custom.xml><?xml version="1.0" encoding="utf-8"?>
<Properties xmlns="http://schemas.openxmlformats.org/officeDocument/2006/custom-properties" xmlns:vt="http://schemas.openxmlformats.org/officeDocument/2006/docPropsVTypes"/>
</file>