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</w:pPr>
      <w:r>
        <w:rPr>
          <w:rFonts w:ascii="Calibri" w:cs="Calibri" w:eastAsia="Calibri" w:hAnsi="Calibri"/>
          <w:b/>
          <w:bCs/>
          <w:color w:val="B37F12"/>
          <w:sz w:val="18"/>
          <w:szCs w:val="18"/>
        </w:rPr>
        <w:t xml:space="preserve">OUTIL E19 · MON ASSO CULTUELLE</w:t>
      </w:r>
    </w:p>
    <w:p>
      <w:pPr>
        <w:pStyle w:val="Heading1"/>
        <w:spacing w:after="120"/>
      </w:pPr>
      <w:r>
        <w:rPr>
          <w:rFonts w:ascii="Calibri" w:cs="Calibri" w:eastAsia="Calibri" w:hAnsi="Calibri"/>
          <w:b/>
          <w:bCs/>
          <w:color w:val="082B50"/>
          <w:sz w:val="36"/>
          <w:szCs w:val="36"/>
        </w:rPr>
        <w:t xml:space="preserve">Modèles de résolutions d’affectation du résultat</w:t>
      </w:r>
    </w:p>
    <w:p>
      <w:pPr>
        <w:spacing w:after="160" w:before="0"/>
      </w:pPr>
      <w:r>
        <w:rPr>
          <w:rFonts w:ascii="Calibri" w:cs="Calibri" w:eastAsia="Calibri" w:hAnsi="Calibri"/>
          <w:sz w:val="21"/>
          <w:szCs w:val="21"/>
        </w:rPr>
        <w:t xml:space="preserve">Six résolutions types pour l’assemblée générale ordinaire d’une association cultuelle, avec l’écriture comptable correspondante. Les passages entre crochets sont à compléter ; les chiffres proposés entre crochets reprennent les exemples de l’article (exercice 2026, assemblée en 2027).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638"/>
      </w:tblGrid>
      <w:tr>
        <w:tc>
          <w:tcPr>
            <w:tcW w:type="dxa" w:w="9638"/>
            <w:tcBorders>
              <w:top w:val="none" w:color="FFFFFF" w:sz="0"/>
              <w:left w:val="single" w:color="E0A52B" w:sz="24"/>
              <w:bottom w:val="none" w:color="FFFFFF" w:sz="0"/>
              <w:right w:val="none" w:color="FFFFFF" w:sz="0"/>
            </w:tcBorders>
            <w:shd w:fill="FDF4E1" w:color="auto" w:val="clear"/>
            <w:tcMar>
              <w:top w:type="dxa" w:w="120"/>
              <w:left w:type="dxa" w:w="200"/>
              <w:bottom w:type="dxa" w:w="120"/>
              <w:right w:type="dxa" w:w="200"/>
            </w:tcMar>
          </w:tcPr>
          <w:p>
            <w:pPr>
              <w:spacing w:after="60" w:before="0"/>
            </w:pPr>
            <w:r>
              <w:rPr>
                <w:rFonts w:ascii="Calibri" w:cs="Calibri" w:eastAsia="Calibri" w:hAnsi="Calibri"/>
                <w:b/>
                <w:bCs/>
                <w:color w:val="082B50"/>
                <w:sz w:val="21"/>
                <w:szCs w:val="21"/>
              </w:rPr>
              <w:t xml:space="preserve">Mode d’emploi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40" w:before="0"/>
            </w:pPr>
            <w:r>
              <w:rPr>
                <w:rFonts w:ascii="Calibri" w:cs="Calibri" w:eastAsia="Calibri" w:hAnsi="Calibri"/>
                <w:sz w:val="21"/>
                <w:szCs w:val="21"/>
              </w:rPr>
              <w:t xml:space="preserve">Relevez dans la balance le résultat de l’exercice (compte 120 ou 129) et le solde du report à nouveau (110 ou 119).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40" w:before="0"/>
            </w:pPr>
            <w:r>
              <w:rPr>
                <w:rFonts w:ascii="Calibri" w:cs="Calibri" w:eastAsia="Calibri" w:hAnsi="Calibri"/>
                <w:sz w:val="21"/>
                <w:szCs w:val="21"/>
              </w:rPr>
              <w:t xml:space="preserve">Choisissez la variante dans le tableau ci-dessous. S’il existe un report à nouveau débiteur (119), commencez toujours par l’apurer (variante 4).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40" w:before="0"/>
            </w:pPr>
            <w:r>
              <w:rPr>
                <w:rFonts w:ascii="Calibri" w:cs="Calibri" w:eastAsia="Calibri" w:hAnsi="Calibri"/>
                <w:sz w:val="21"/>
                <w:szCs w:val="21"/>
              </w:rPr>
              <w:t xml:space="preserve">Vérifiez dans vos statuts quel organe propose l’affectation et lequel la vote ; adaptez les mots « conseil d’administration » et la numérotation des résolutions.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40" w:before="0"/>
            </w:pPr>
            <w:r>
              <w:rPr>
                <w:rFonts w:ascii="Calibri" w:cs="Calibri" w:eastAsia="Calibri" w:hAnsi="Calibri"/>
                <w:sz w:val="21"/>
                <w:szCs w:val="21"/>
              </w:rPr>
              <w:t xml:space="preserve">Joignez le projet de résolution à la convocation, faites-le voter après l’approbation des comptes, puis recopiez la décision au procès-verbal.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0" w:before="0"/>
            </w:pPr>
            <w:r>
              <w:rPr>
                <w:rFonts w:ascii="Calibri" w:cs="Calibri" w:eastAsia="Calibri" w:hAnsi="Calibri"/>
                <w:sz w:val="21"/>
                <w:szCs w:val="21"/>
              </w:rPr>
              <w:t xml:space="preserve">Passez l’écriture à la date de l’assemblée, dans l’exercice suivant, avec le procès-verbal comme pièce justificative. Ne la passez jamais au 31 décembre de l’exercice clos.</w:t>
            </w:r>
          </w:p>
        </w:tc>
      </w:tr>
    </w:tbl>
    <w:p>
      <w:pPr>
        <w:pStyle w:val="Heading2"/>
        <w:pBdr>
          <w:bottom w:val="single" w:color="E0A52B" w:sz="8" w:space="4"/>
        </w:pBdr>
        <w:spacing w:after="120" w:before="280"/>
      </w:pPr>
      <w:r>
        <w:rPr>
          <w:rFonts w:ascii="Calibri" w:cs="Calibri" w:eastAsia="Calibri" w:hAnsi="Calibri"/>
          <w:b/>
          <w:bCs/>
          <w:color w:val="082B50"/>
          <w:sz w:val="28"/>
          <w:szCs w:val="28"/>
        </w:rPr>
        <w:t xml:space="preserve">Quelle variante choisir 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600"/>
        <w:gridCol w:w="3438"/>
        <w:gridCol w:w="2600"/>
      </w:tblGrid>
      <w:tr>
        <w:trPr>
          <w:tblHeader/>
        </w:trPr>
        <w:tc>
          <w:tcPr>
            <w:tcW w:type="dxa" w:w="3600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Votre situation</w:t>
            </w:r>
          </w:p>
        </w:tc>
        <w:tc>
          <w:tcPr>
            <w:tcW w:type="dxa" w:w="3438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Ce que décide l’assemblée</w:t>
            </w:r>
          </w:p>
        </w:tc>
        <w:tc>
          <w:tcPr>
            <w:tcW w:type="dxa" w:w="2600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Variante</w:t>
            </w:r>
          </w:p>
        </w:tc>
      </w:tr>
      <w:tr>
        <w:tc>
          <w:tcPr>
            <w:tcW w:type="dxa" w:w="36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Excédent, pas de report à nouveau débiteur</w:t>
            </w:r>
          </w:p>
        </w:tc>
        <w:tc>
          <w:tcPr>
            <w:tcW w:type="dxa" w:w="34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Laisser l’excédent disponible</w:t>
            </w:r>
          </w:p>
        </w:tc>
        <w:tc>
          <w:tcPr>
            <w:tcW w:type="dxa" w:w="26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1 — Report à nouveau</w:t>
            </w:r>
          </w:p>
        </w:tc>
      </w:tr>
      <w:tr>
        <w:tc>
          <w:tcPr>
            <w:tcW w:type="dxa" w:w="36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Excédent, pas de report à nouveau débiteur</w:t>
            </w:r>
          </w:p>
        </w:tc>
        <w:tc>
          <w:tcPr>
            <w:tcW w:type="dxa" w:w="34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Le mettre de côté pour un projet précis</w:t>
            </w:r>
          </w:p>
        </w:tc>
        <w:tc>
          <w:tcPr>
            <w:tcW w:type="dxa" w:w="26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2 — Réserve pour projet</w:t>
            </w:r>
          </w:p>
        </w:tc>
      </w:tr>
      <w:tr>
        <w:tc>
          <w:tcPr>
            <w:tcW w:type="dxa" w:w="36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Excédent, pas de report à nouveau débiteur</w:t>
            </w:r>
          </w:p>
        </w:tc>
        <w:tc>
          <w:tcPr>
            <w:tcW w:type="dxa" w:w="34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Une part en réserve, le reste disponible</w:t>
            </w:r>
          </w:p>
        </w:tc>
        <w:tc>
          <w:tcPr>
            <w:tcW w:type="dxa" w:w="26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3 — Mixte</w:t>
            </w:r>
          </w:p>
        </w:tc>
      </w:tr>
      <w:tr>
        <w:tc>
          <w:tcPr>
            <w:tcW w:type="dxa" w:w="36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Excédent et report à nouveau débiteur (119)</w:t>
            </w:r>
          </w:p>
        </w:tc>
        <w:tc>
          <w:tcPr>
            <w:tcW w:type="dxa" w:w="34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Apurer d’abord le 119, puis affecter le solde</w:t>
            </w:r>
          </w:p>
        </w:tc>
        <w:tc>
          <w:tcPr>
            <w:tcW w:type="dxa" w:w="26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4 — Apurement préalable</w:t>
            </w:r>
          </w:p>
        </w:tc>
      </w:tr>
      <w:tr>
        <w:tc>
          <w:tcPr>
            <w:tcW w:type="dxa" w:w="36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Déficit, pas de report à nouveau créditeur</w:t>
            </w:r>
          </w:p>
        </w:tc>
        <w:tc>
          <w:tcPr>
            <w:tcW w:type="dxa" w:w="34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Inscrire le déficit en report à nouveau débiteur</w:t>
            </w:r>
          </w:p>
        </w:tc>
        <w:tc>
          <w:tcPr>
            <w:tcW w:type="dxa" w:w="26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5 — Déficit en 119</w:t>
            </w:r>
          </w:p>
        </w:tc>
      </w:tr>
      <w:tr>
        <w:tc>
          <w:tcPr>
            <w:tcW w:type="dxa" w:w="36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Déficit et report à nouveau créditeur (110)</w:t>
            </w:r>
          </w:p>
        </w:tc>
        <w:tc>
          <w:tcPr>
            <w:tcW w:type="dxa" w:w="34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Imputer le déficit sur le report à nouveau</w:t>
            </w:r>
          </w:p>
        </w:tc>
        <w:tc>
          <w:tcPr>
            <w:tcW w:type="dxa" w:w="26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6 — Déficit imputé sur le 110</w:t>
            </w:r>
          </w:p>
        </w:tc>
      </w:tr>
    </w:tbl>
    <w:p>
      <w:pPr>
        <w:spacing w:after="60" w:before="0"/>
      </w:pPr>
      <w:r>
        <w:rPr>
          <w:rFonts w:ascii="Calibri" w:cs="Calibri" w:eastAsia="Calibri" w:hAnsi="Calibri"/>
          <w:sz w:val="21"/>
          <w:szCs w:val="21"/>
        </w:rPr>
        <w:t xml:space="preserve"/>
      </w:r>
    </w:p>
    <w:p>
      <w:pPr>
        <w:pStyle w:val="Heading2"/>
        <w:pBdr>
          <w:bottom w:val="single" w:color="E0A52B" w:sz="8" w:space="4"/>
        </w:pBdr>
        <w:spacing w:after="120" w:before="280"/>
      </w:pPr>
      <w:r>
        <w:rPr>
          <w:rFonts w:ascii="Calibri" w:cs="Calibri" w:eastAsia="Calibri" w:hAnsi="Calibri"/>
          <w:b/>
          <w:bCs/>
          <w:color w:val="082B50"/>
          <w:sz w:val="28"/>
          <w:szCs w:val="28"/>
        </w:rPr>
        <w:t xml:space="preserve">Rappel : la résolution d’approbation des comptes</w:t>
      </w:r>
    </w:p>
    <w:p>
      <w:pPr>
        <w:spacing w:after="100" w:before="0"/>
      </w:pPr>
      <w:r>
        <w:rPr>
          <w:rFonts w:ascii="Calibri" w:cs="Calibri" w:eastAsia="Calibri" w:hAnsi="Calibri"/>
          <w:sz w:val="21"/>
          <w:szCs w:val="21"/>
        </w:rPr>
        <w:t xml:space="preserve">L’affectation se vote après l’approbation des comptes, qui fait l’objet d’une résolution distincte.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638"/>
      </w:tblGrid>
      <w:tr>
        <w:tc>
          <w:tcPr>
            <w:tcW w:type="dxa" w:w="9638"/>
            <w:tcBorders>
              <w:top w:val="none" w:color="FFFFFF" w:sz="0"/>
              <w:left w:val="single" w:color="E0A52B" w:sz="24"/>
              <w:bottom w:val="none" w:color="FFFFFF" w:sz="0"/>
              <w:right w:val="none" w:color="FFFFFF" w:sz="0"/>
            </w:tcBorders>
            <w:shd w:fill="F6F8FA" w:color="auto" w:val="clear"/>
            <w:tcMar>
              <w:top w:type="dxa" w:w="120"/>
              <w:left w:type="dxa" w:w="200"/>
              <w:bottom w:type="dxa" w:w="120"/>
              <w:right w:type="dxa" w:w="200"/>
            </w:tcMar>
          </w:tcPr>
          <w:p>
            <w:pPr>
              <w:spacing w:after="80" w:before="0"/>
            </w:pPr>
            <w:r>
              <w:rPr>
                <w:rFonts w:ascii="Calibri" w:cs="Calibri" w:eastAsia="Calibri" w:hAnsi="Calibri"/>
                <w:i/>
                <w:iCs/>
                <w:sz w:val="21"/>
                <w:szCs w:val="21"/>
              </w:rPr>
              <w:t xml:space="preserve">« [Deuxième] résolution — Approbation des comptes. L’assemblée générale, après avoir entendu le rapport financier du trésorier [et le rapport du commissaire aux comptes], approuve les comptes annuels de l’exercice clos le [31 décembre 2026], comprenant le bilan, le compte de résultat et l’annexe, tels qu’ils lui ont été présentés, faisant apparaître un [excédent / déficit] de [montant] €. Elle approuve les actes de gestion financière accomplis par les administrateurs au cours de cet exercice (loi du 9 décembre 1905, art. 19).</w:t>
            </w:r>
          </w:p>
          <w:p>
            <w:pPr>
              <w:spacing w:after="80" w:before="0"/>
            </w:pPr>
            <w:r>
              <w:rPr>
                <w:rFonts w:ascii="Calibri" w:cs="Calibri" w:eastAsia="Calibri" w:hAnsi="Calibri"/>
                <w:i/>
                <w:iCs/>
                <w:sz w:val="21"/>
                <w:szCs w:val="21"/>
              </w:rPr>
              <w:t xml:space="preserve">Cette résolution est adoptée [à l’unanimité des membres présents ou représentés / par … voix pour, … voix contre et … abstentions]. »</w:t>
            </w:r>
          </w:p>
        </w:tc>
      </w:tr>
    </w:tbl>
    <w:p>
      <w:pPr>
        <w:pStyle w:val="Heading2"/>
        <w:pBdr>
          <w:bottom w:val="single" w:color="E0A52B" w:sz="8" w:space="4"/>
        </w:pBdr>
        <w:spacing w:after="120" w:before="280"/>
      </w:pPr>
      <w:r>
        <w:rPr>
          <w:rFonts w:ascii="Calibri" w:cs="Calibri" w:eastAsia="Calibri" w:hAnsi="Calibri"/>
          <w:b/>
          <w:bCs/>
          <w:color w:val="082B50"/>
          <w:sz w:val="28"/>
          <w:szCs w:val="28"/>
        </w:rPr>
        <w:t xml:space="preserve">Variante 1 — Affectation en report à nouveau</w:t>
      </w:r>
    </w:p>
    <w:p>
      <w:pPr>
        <w:spacing w:after="100" w:before="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Quand l’utiliser : </w:t>
      </w:r>
      <w:r>
        <w:rPr>
          <w:rFonts w:ascii="Calibri" w:cs="Calibri" w:eastAsia="Calibri" w:hAnsi="Calibri"/>
          <w:sz w:val="21"/>
          <w:szCs w:val="21"/>
        </w:rPr>
        <w:t xml:space="preserve">excédent, sans report à nouveau débiteur, sans projet précis.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638"/>
      </w:tblGrid>
      <w:tr>
        <w:tc>
          <w:tcPr>
            <w:tcW w:type="dxa" w:w="9638"/>
            <w:tcBorders>
              <w:top w:val="none" w:color="FFFFFF" w:sz="0"/>
              <w:left w:val="single" w:color="E0A52B" w:sz="24"/>
              <w:bottom w:val="none" w:color="FFFFFF" w:sz="0"/>
              <w:right w:val="none" w:color="FFFFFF" w:sz="0"/>
            </w:tcBorders>
            <w:shd w:fill="F6F8FA" w:color="auto" w:val="clear"/>
            <w:tcMar>
              <w:top w:type="dxa" w:w="120"/>
              <w:left w:type="dxa" w:w="200"/>
              <w:bottom w:type="dxa" w:w="120"/>
              <w:right w:type="dxa" w:w="200"/>
            </w:tcMar>
          </w:tcPr>
          <w:p>
            <w:pPr>
              <w:spacing w:after="60" w:before="0"/>
            </w:pPr>
            <w:r>
              <w:rPr>
                <w:rFonts w:ascii="Calibri" w:cs="Calibri" w:eastAsia="Calibri" w:hAnsi="Calibri"/>
                <w:b/>
                <w:bCs/>
                <w:color w:val="082B50"/>
                <w:sz w:val="21"/>
                <w:szCs w:val="21"/>
              </w:rPr>
              <w:t xml:space="preserve">Résolution type</w:t>
            </w:r>
          </w:p>
          <w:p>
            <w:pPr>
              <w:spacing w:after="80" w:before="0"/>
            </w:pPr>
            <w:r>
              <w:rPr>
                <w:rFonts w:ascii="Calibri" w:cs="Calibri" w:eastAsia="Calibri" w:hAnsi="Calibri"/>
                <w:i/>
                <w:iCs/>
                <w:sz w:val="21"/>
                <w:szCs w:val="21"/>
              </w:rPr>
              <w:t xml:space="preserve">« [Troisième] résolution — Affectation du résultat. L’assemblée générale, sur proposition du [conseil d’administration], décide d’affecter l’excédent de l’exercice clos le [31 décembre 2026], soit [12 400] €, en totalité au compte « Report à nouveau ». Le report à nouveau créditeur est ainsi porté de [15 000] € à [27 400] €.</w:t>
            </w:r>
          </w:p>
          <w:p>
            <w:pPr>
              <w:spacing w:after="80" w:before="0"/>
            </w:pPr>
            <w:r>
              <w:rPr>
                <w:rFonts w:ascii="Calibri" w:cs="Calibri" w:eastAsia="Calibri" w:hAnsi="Calibri"/>
                <w:i/>
                <w:iCs/>
                <w:sz w:val="21"/>
                <w:szCs w:val="21"/>
              </w:rPr>
              <w:t xml:space="preserve">Cette résolution est adoptée [à l’unanimité des membres présents ou représentés / par … voix pour, … voix contre et … abstentions]. »</w:t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color w:val="082B50"/>
          <w:sz w:val="19"/>
          <w:szCs w:val="19"/>
        </w:rPr>
        <w:t xml:space="preserve">Écriture à passer à la date de l’assemblée (exercice [2027]) 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300"/>
        <w:gridCol w:w="5338"/>
        <w:gridCol w:w="1500"/>
        <w:gridCol w:w="1500"/>
      </w:tblGrid>
      <w:tr>
        <w:trPr>
          <w:tblHeader/>
        </w:trPr>
        <w:tc>
          <w:tcPr>
            <w:tcW w:type="dxa" w:w="1300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Compte</w:t>
            </w:r>
          </w:p>
        </w:tc>
        <w:tc>
          <w:tcPr>
            <w:tcW w:type="dxa" w:w="5338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Libellé</w:t>
            </w:r>
          </w:p>
        </w:tc>
        <w:tc>
          <w:tcPr>
            <w:tcW w:type="dxa" w:w="1500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Débit</w:t>
            </w:r>
          </w:p>
        </w:tc>
        <w:tc>
          <w:tcPr>
            <w:tcW w:type="dxa" w:w="1500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Crédit</w:t>
            </w:r>
          </w:p>
        </w:tc>
      </w:tr>
      <w:tr>
        <w:tc>
          <w:tcPr>
            <w:tcW w:type="dxa" w:w="13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120</w:t>
            </w:r>
          </w:p>
        </w:tc>
        <w:tc>
          <w:tcPr>
            <w:tcW w:type="dxa" w:w="53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Résultat de l’exercice (bénéfice)</w:t>
            </w:r>
          </w:p>
        </w:tc>
        <w:tc>
          <w:tcPr>
            <w:tcW w:type="dxa" w:w="1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[12 400]</w:t>
            </w:r>
          </w:p>
        </w:tc>
        <w:tc>
          <w:tcPr>
            <w:tcW w:type="dxa" w:w="1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13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110</w:t>
            </w:r>
          </w:p>
        </w:tc>
        <w:tc>
          <w:tcPr>
            <w:tcW w:type="dxa" w:w="53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Report à nouveau (solde créditeur)</w:t>
            </w:r>
          </w:p>
        </w:tc>
        <w:tc>
          <w:tcPr>
            <w:tcW w:type="dxa" w:w="1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  <w:tc>
          <w:tcPr>
            <w:tcW w:type="dxa" w:w="1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[12 400]</w:t>
            </w:r>
          </w:p>
        </w:tc>
      </w:tr>
    </w:tbl>
    <w:p>
      <w:pPr>
        <w:pStyle w:val="Heading2"/>
        <w:pBdr>
          <w:bottom w:val="single" w:color="E0A52B" w:sz="8" w:space="4"/>
        </w:pBdr>
        <w:spacing w:after="120" w:before="280"/>
      </w:pPr>
      <w:r>
        <w:rPr>
          <w:rFonts w:ascii="Calibri" w:cs="Calibri" w:eastAsia="Calibri" w:hAnsi="Calibri"/>
          <w:b/>
          <w:bCs/>
          <w:color w:val="082B50"/>
          <w:sz w:val="28"/>
          <w:szCs w:val="28"/>
        </w:rPr>
        <w:t xml:space="preserve">Variante 2 — Affectation en réserve pour projet</w:t>
      </w:r>
    </w:p>
    <w:p>
      <w:pPr>
        <w:spacing w:after="100" w:before="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Quand l’utiliser : </w:t>
      </w:r>
      <w:r>
        <w:rPr>
          <w:rFonts w:ascii="Calibri" w:cs="Calibri" w:eastAsia="Calibri" w:hAnsi="Calibri"/>
          <w:sz w:val="21"/>
          <w:szCs w:val="21"/>
        </w:rPr>
        <w:t xml:space="preserve">excédent, sans report à nouveau débiteur, pour un projet identifié (travaux, équipement, implantation…).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638"/>
      </w:tblGrid>
      <w:tr>
        <w:tc>
          <w:tcPr>
            <w:tcW w:type="dxa" w:w="9638"/>
            <w:tcBorders>
              <w:top w:val="none" w:color="FFFFFF" w:sz="0"/>
              <w:left w:val="single" w:color="E0A52B" w:sz="24"/>
              <w:bottom w:val="none" w:color="FFFFFF" w:sz="0"/>
              <w:right w:val="none" w:color="FFFFFF" w:sz="0"/>
            </w:tcBorders>
            <w:shd w:fill="F6F8FA" w:color="auto" w:val="clear"/>
            <w:tcMar>
              <w:top w:type="dxa" w:w="120"/>
              <w:left w:type="dxa" w:w="200"/>
              <w:bottom w:type="dxa" w:w="120"/>
              <w:right w:type="dxa" w:w="200"/>
            </w:tcMar>
          </w:tcPr>
          <w:p>
            <w:pPr>
              <w:spacing w:after="60" w:before="0"/>
            </w:pPr>
            <w:r>
              <w:rPr>
                <w:rFonts w:ascii="Calibri" w:cs="Calibri" w:eastAsia="Calibri" w:hAnsi="Calibri"/>
                <w:b/>
                <w:bCs/>
                <w:color w:val="082B50"/>
                <w:sz w:val="21"/>
                <w:szCs w:val="21"/>
              </w:rPr>
              <w:t xml:space="preserve">Résolution type</w:t>
            </w:r>
          </w:p>
          <w:p>
            <w:pPr>
              <w:spacing w:after="80" w:before="0"/>
            </w:pPr>
            <w:r>
              <w:rPr>
                <w:rFonts w:ascii="Calibri" w:cs="Calibri" w:eastAsia="Calibri" w:hAnsi="Calibri"/>
                <w:i/>
                <w:iCs/>
                <w:sz w:val="21"/>
                <w:szCs w:val="21"/>
              </w:rPr>
              <w:t xml:space="preserve">« [Troisième] résolution — Affectation du résultat. L’assemblée générale, sur proposition du [conseil d’administration], décide d’affecter l’excédent de l’exercice clos le [31 décembre 2026], soit [12 400] €, en totalité au compte « Réserves pour projet de l’entité », en vue de [décrire le projet : le remplacement du système de chauffage du lieu de culte situé …], prévu en [2029].</w:t>
            </w:r>
          </w:p>
          <w:p>
            <w:pPr>
              <w:spacing w:after="80" w:before="0"/>
            </w:pPr>
            <w:r>
              <w:rPr>
                <w:rFonts w:ascii="Calibri" w:cs="Calibri" w:eastAsia="Calibri" w:hAnsi="Calibri"/>
                <w:i/>
                <w:iCs/>
                <w:sz w:val="21"/>
                <w:szCs w:val="21"/>
              </w:rPr>
              <w:t xml:space="preserve">Cette résolution est adoptée [à l’unanimité des membres présents ou représentés / par … voix pour, … voix contre et … abstentions]. »</w:t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color w:val="082B50"/>
          <w:sz w:val="19"/>
          <w:szCs w:val="19"/>
        </w:rPr>
        <w:t xml:space="preserve">Écriture à passer à la date de l’assemblée (exercice [2027]) 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300"/>
        <w:gridCol w:w="5338"/>
        <w:gridCol w:w="1500"/>
        <w:gridCol w:w="1500"/>
      </w:tblGrid>
      <w:tr>
        <w:trPr>
          <w:tblHeader/>
        </w:trPr>
        <w:tc>
          <w:tcPr>
            <w:tcW w:type="dxa" w:w="1300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Compte</w:t>
            </w:r>
          </w:p>
        </w:tc>
        <w:tc>
          <w:tcPr>
            <w:tcW w:type="dxa" w:w="5338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Libellé</w:t>
            </w:r>
          </w:p>
        </w:tc>
        <w:tc>
          <w:tcPr>
            <w:tcW w:type="dxa" w:w="1500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Débit</w:t>
            </w:r>
          </w:p>
        </w:tc>
        <w:tc>
          <w:tcPr>
            <w:tcW w:type="dxa" w:w="1500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Crédit</w:t>
            </w:r>
          </w:p>
        </w:tc>
      </w:tr>
      <w:tr>
        <w:tc>
          <w:tcPr>
            <w:tcW w:type="dxa" w:w="13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120</w:t>
            </w:r>
          </w:p>
        </w:tc>
        <w:tc>
          <w:tcPr>
            <w:tcW w:type="dxa" w:w="53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Résultat de l’exercice (bénéfice)</w:t>
            </w:r>
          </w:p>
        </w:tc>
        <w:tc>
          <w:tcPr>
            <w:tcW w:type="dxa" w:w="1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[12 400]</w:t>
            </w:r>
          </w:p>
        </w:tc>
        <w:tc>
          <w:tcPr>
            <w:tcW w:type="dxa" w:w="1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13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1068[x]</w:t>
            </w:r>
          </w:p>
        </w:tc>
        <w:tc>
          <w:tcPr>
            <w:tcW w:type="dxa" w:w="53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Réserves pour projet de l’entité — [nom du projet]</w:t>
            </w:r>
          </w:p>
        </w:tc>
        <w:tc>
          <w:tcPr>
            <w:tcW w:type="dxa" w:w="1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  <w:tc>
          <w:tcPr>
            <w:tcW w:type="dxa" w:w="1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[12 400]</w:t>
            </w:r>
          </w:p>
        </w:tc>
      </w:tr>
    </w:tbl>
    <w:p>
      <w:pPr>
        <w:spacing w:after="100" w:before="80"/>
      </w:pPr>
      <w:r>
        <w:rPr>
          <w:rFonts w:ascii="Calibri" w:cs="Calibri" w:eastAsia="Calibri" w:hAnsi="Calibri"/>
          <w:color w:val="6B7280"/>
          <w:sz w:val="19"/>
          <w:szCs w:val="19"/>
        </w:rPr>
        <w:t xml:space="preserve">Option : si vos statuts imposent une réserve, remplacez « Réserves pour projet de l’entité » par « Réserves statutaires » et le compte 1068 par le compte 1063, en citant l’article des statuts. Un sous-compte de 1068 par projet est utile ; un sous-compte de report à nouveau par année ne l’est pas.</w:t>
      </w:r>
    </w:p>
    <w:p>
      <w:pPr>
        <w:pStyle w:val="Heading2"/>
        <w:pBdr>
          <w:bottom w:val="single" w:color="E0A52B" w:sz="8" w:space="4"/>
        </w:pBdr>
        <w:spacing w:after="120" w:before="280"/>
      </w:pPr>
      <w:r>
        <w:rPr>
          <w:rFonts w:ascii="Calibri" w:cs="Calibri" w:eastAsia="Calibri" w:hAnsi="Calibri"/>
          <w:b/>
          <w:bCs/>
          <w:color w:val="082B50"/>
          <w:sz w:val="28"/>
          <w:szCs w:val="28"/>
        </w:rPr>
        <w:t xml:space="preserve">Variante 3 — Affectation mixte</w:t>
      </w:r>
    </w:p>
    <w:p>
      <w:pPr>
        <w:spacing w:after="100" w:before="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Quand l’utiliser : </w:t>
      </w:r>
      <w:r>
        <w:rPr>
          <w:rFonts w:ascii="Calibri" w:cs="Calibri" w:eastAsia="Calibri" w:hAnsi="Calibri"/>
          <w:sz w:val="21"/>
          <w:szCs w:val="21"/>
        </w:rPr>
        <w:t xml:space="preserve">excédent, sans report à nouveau débiteur ; une part pour un projet, le reste disponible.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638"/>
      </w:tblGrid>
      <w:tr>
        <w:tc>
          <w:tcPr>
            <w:tcW w:type="dxa" w:w="9638"/>
            <w:tcBorders>
              <w:top w:val="none" w:color="FFFFFF" w:sz="0"/>
              <w:left w:val="single" w:color="E0A52B" w:sz="24"/>
              <w:bottom w:val="none" w:color="FFFFFF" w:sz="0"/>
              <w:right w:val="none" w:color="FFFFFF" w:sz="0"/>
            </w:tcBorders>
            <w:shd w:fill="F6F8FA" w:color="auto" w:val="clear"/>
            <w:tcMar>
              <w:top w:type="dxa" w:w="120"/>
              <w:left w:type="dxa" w:w="200"/>
              <w:bottom w:type="dxa" w:w="120"/>
              <w:right w:type="dxa" w:w="200"/>
            </w:tcMar>
          </w:tcPr>
          <w:p>
            <w:pPr>
              <w:spacing w:after="60" w:before="0"/>
            </w:pPr>
            <w:r>
              <w:rPr>
                <w:rFonts w:ascii="Calibri" w:cs="Calibri" w:eastAsia="Calibri" w:hAnsi="Calibri"/>
                <w:b/>
                <w:bCs/>
                <w:color w:val="082B50"/>
                <w:sz w:val="21"/>
                <w:szCs w:val="21"/>
              </w:rPr>
              <w:t xml:space="preserve">Résolution type</w:t>
            </w:r>
          </w:p>
          <w:p>
            <w:pPr>
              <w:spacing w:after="80" w:before="0"/>
            </w:pPr>
            <w:r>
              <w:rPr>
                <w:rFonts w:ascii="Calibri" w:cs="Calibri" w:eastAsia="Calibri" w:hAnsi="Calibri"/>
                <w:i/>
                <w:iCs/>
                <w:sz w:val="21"/>
                <w:szCs w:val="21"/>
              </w:rPr>
              <w:t xml:space="preserve">« [Troisième] résolution — Affectation du résultat. L’assemblée générale, sur proposition du [conseil d’administration], décide d’affecter l’excédent de l’exercice clos le [31 décembre 2026], soit [18 000] €, de la manière suivante :</w:t>
            </w:r>
          </w:p>
          <w:p>
            <w:pPr>
              <w:spacing w:after="80" w:before="0"/>
            </w:pPr>
            <w:r>
              <w:rPr>
                <w:rFonts w:ascii="Calibri" w:cs="Calibri" w:eastAsia="Calibri" w:hAnsi="Calibri"/>
                <w:i/>
                <w:iCs/>
                <w:sz w:val="21"/>
                <w:szCs w:val="21"/>
              </w:rPr>
              <w:t xml:space="preserve">– [10 000] € au compte « Réserves pour projet de l’entité », en vue de [la rénovation de la salle de culte] ;</w:t>
            </w:r>
          </w:p>
          <w:p>
            <w:pPr>
              <w:spacing w:after="80" w:before="0"/>
            </w:pPr>
            <w:r>
              <w:rPr>
                <w:rFonts w:ascii="Calibri" w:cs="Calibri" w:eastAsia="Calibri" w:hAnsi="Calibri"/>
                <w:i/>
                <w:iCs/>
                <w:sz w:val="21"/>
                <w:szCs w:val="21"/>
              </w:rPr>
              <w:t xml:space="preserve">– le solde, soit [8 000] €, au compte « Report à nouveau », dont le solde créditeur est ainsi porté de [15 000] € à [23 000] €.</w:t>
            </w:r>
          </w:p>
          <w:p>
            <w:pPr>
              <w:spacing w:after="80" w:before="0"/>
            </w:pPr>
            <w:r>
              <w:rPr>
                <w:rFonts w:ascii="Calibri" w:cs="Calibri" w:eastAsia="Calibri" w:hAnsi="Calibri"/>
                <w:i/>
                <w:iCs/>
                <w:sz w:val="21"/>
                <w:szCs w:val="21"/>
              </w:rPr>
              <w:t xml:space="preserve">Cette résolution est adoptée [à l’unanimité des membres présents ou représentés / par … voix pour, … voix contre et … abstentions]. »</w:t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color w:val="082B50"/>
          <w:sz w:val="19"/>
          <w:szCs w:val="19"/>
        </w:rPr>
        <w:t xml:space="preserve">Écriture à passer à la date de l’assemblée (exercice [2027]) 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300"/>
        <w:gridCol w:w="5338"/>
        <w:gridCol w:w="1500"/>
        <w:gridCol w:w="1500"/>
      </w:tblGrid>
      <w:tr>
        <w:trPr>
          <w:tblHeader/>
        </w:trPr>
        <w:tc>
          <w:tcPr>
            <w:tcW w:type="dxa" w:w="1300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Compte</w:t>
            </w:r>
          </w:p>
        </w:tc>
        <w:tc>
          <w:tcPr>
            <w:tcW w:type="dxa" w:w="5338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Libellé</w:t>
            </w:r>
          </w:p>
        </w:tc>
        <w:tc>
          <w:tcPr>
            <w:tcW w:type="dxa" w:w="1500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Débit</w:t>
            </w:r>
          </w:p>
        </w:tc>
        <w:tc>
          <w:tcPr>
            <w:tcW w:type="dxa" w:w="1500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Crédit</w:t>
            </w:r>
          </w:p>
        </w:tc>
      </w:tr>
      <w:tr>
        <w:tc>
          <w:tcPr>
            <w:tcW w:type="dxa" w:w="13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120</w:t>
            </w:r>
          </w:p>
        </w:tc>
        <w:tc>
          <w:tcPr>
            <w:tcW w:type="dxa" w:w="53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Résultat de l’exercice (bénéfice)</w:t>
            </w:r>
          </w:p>
        </w:tc>
        <w:tc>
          <w:tcPr>
            <w:tcW w:type="dxa" w:w="1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[18 000]</w:t>
            </w:r>
          </w:p>
        </w:tc>
        <w:tc>
          <w:tcPr>
            <w:tcW w:type="dxa" w:w="1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13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1068[x]</w:t>
            </w:r>
          </w:p>
        </w:tc>
        <w:tc>
          <w:tcPr>
            <w:tcW w:type="dxa" w:w="53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Réserves pour projet de l’entité — [nom du projet]</w:t>
            </w:r>
          </w:p>
        </w:tc>
        <w:tc>
          <w:tcPr>
            <w:tcW w:type="dxa" w:w="1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  <w:tc>
          <w:tcPr>
            <w:tcW w:type="dxa" w:w="1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[10 000]</w:t>
            </w:r>
          </w:p>
        </w:tc>
      </w:tr>
      <w:tr>
        <w:tc>
          <w:tcPr>
            <w:tcW w:type="dxa" w:w="13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110</w:t>
            </w:r>
          </w:p>
        </w:tc>
        <w:tc>
          <w:tcPr>
            <w:tcW w:type="dxa" w:w="53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Report à nouveau (solde créditeur)</w:t>
            </w:r>
          </w:p>
        </w:tc>
        <w:tc>
          <w:tcPr>
            <w:tcW w:type="dxa" w:w="1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  <w:tc>
          <w:tcPr>
            <w:tcW w:type="dxa" w:w="1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[8 000]</w:t>
            </w:r>
          </w:p>
        </w:tc>
      </w:tr>
    </w:tbl>
    <w:p>
      <w:pPr>
        <w:pStyle w:val="Heading2"/>
        <w:pBdr>
          <w:bottom w:val="single" w:color="E0A52B" w:sz="8" w:space="4"/>
        </w:pBdr>
        <w:spacing w:after="120" w:before="280"/>
      </w:pPr>
      <w:r>
        <w:rPr>
          <w:rFonts w:ascii="Calibri" w:cs="Calibri" w:eastAsia="Calibri" w:hAnsi="Calibri"/>
          <w:b/>
          <w:bCs/>
          <w:color w:val="082B50"/>
          <w:sz w:val="28"/>
          <w:szCs w:val="28"/>
        </w:rPr>
        <w:t xml:space="preserve">Variante 4 — Apurement préalable du report à nouveau débiteur</w:t>
      </w:r>
    </w:p>
    <w:p>
      <w:pPr>
        <w:spacing w:after="100" w:before="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Quand l’utiliser : </w:t>
      </w:r>
      <w:r>
        <w:rPr>
          <w:rFonts w:ascii="Calibri" w:cs="Calibri" w:eastAsia="Calibri" w:hAnsi="Calibri"/>
          <w:sz w:val="21"/>
          <w:szCs w:val="21"/>
        </w:rPr>
        <w:t xml:space="preserve">excédent alors que le compte 119 présente un solde débiteur (déficits antérieurs). Le 119 est apuré en premier ; seul le solde peut aller en réserve ou en report à nouveau.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638"/>
      </w:tblGrid>
      <w:tr>
        <w:tc>
          <w:tcPr>
            <w:tcW w:type="dxa" w:w="9638"/>
            <w:tcBorders>
              <w:top w:val="none" w:color="FFFFFF" w:sz="0"/>
              <w:left w:val="single" w:color="E0A52B" w:sz="24"/>
              <w:bottom w:val="none" w:color="FFFFFF" w:sz="0"/>
              <w:right w:val="none" w:color="FFFFFF" w:sz="0"/>
            </w:tcBorders>
            <w:shd w:fill="F6F8FA" w:color="auto" w:val="clear"/>
            <w:tcMar>
              <w:top w:type="dxa" w:w="120"/>
              <w:left w:type="dxa" w:w="200"/>
              <w:bottom w:type="dxa" w:w="120"/>
              <w:right w:type="dxa" w:w="200"/>
            </w:tcMar>
          </w:tcPr>
          <w:p>
            <w:pPr>
              <w:spacing w:after="60" w:before="0"/>
            </w:pPr>
            <w:r>
              <w:rPr>
                <w:rFonts w:ascii="Calibri" w:cs="Calibri" w:eastAsia="Calibri" w:hAnsi="Calibri"/>
                <w:b/>
                <w:bCs/>
                <w:color w:val="082B50"/>
                <w:sz w:val="21"/>
                <w:szCs w:val="21"/>
              </w:rPr>
              <w:t xml:space="preserve">Résolution type</w:t>
            </w:r>
          </w:p>
          <w:p>
            <w:pPr>
              <w:spacing w:after="80" w:before="0"/>
            </w:pPr>
            <w:r>
              <w:rPr>
                <w:rFonts w:ascii="Calibri" w:cs="Calibri" w:eastAsia="Calibri" w:hAnsi="Calibri"/>
                <w:i/>
                <w:iCs/>
                <w:sz w:val="21"/>
                <w:szCs w:val="21"/>
              </w:rPr>
              <w:t xml:space="preserve">« [Troisième] résolution — Affectation du résultat. L’assemblée générale, sur proposition du [conseil d’administration], décide d’affecter l’excédent de l’exercice clos le [31 décembre 2026], soit [12 400] €, de la manière suivante :</w:t>
            </w:r>
          </w:p>
          <w:p>
            <w:pPr>
              <w:spacing w:after="80" w:before="0"/>
            </w:pPr>
            <w:r>
              <w:rPr>
                <w:rFonts w:ascii="Calibri" w:cs="Calibri" w:eastAsia="Calibri" w:hAnsi="Calibri"/>
                <w:i/>
                <w:iCs/>
                <w:sz w:val="21"/>
                <w:szCs w:val="21"/>
              </w:rPr>
              <w:t xml:space="preserve">– [7 000] € à l’apurement du report à nouveau débiteur provenant des exercices antérieurs, qui se trouve ainsi [soldé / ramené à … €] ;</w:t>
            </w:r>
          </w:p>
          <w:p>
            <w:pPr>
              <w:spacing w:after="80" w:before="0"/>
            </w:pPr>
            <w:r>
              <w:rPr>
                <w:rFonts w:ascii="Calibri" w:cs="Calibri" w:eastAsia="Calibri" w:hAnsi="Calibri"/>
                <w:i/>
                <w:iCs/>
                <w:sz w:val="21"/>
                <w:szCs w:val="21"/>
              </w:rPr>
              <w:t xml:space="preserve">– le solde, soit [5 400] €, au compte [« Réserves pour projet de l’entité », en vue de … / « Report à nouveau »].</w:t>
            </w:r>
          </w:p>
          <w:p>
            <w:pPr>
              <w:spacing w:after="80" w:before="0"/>
            </w:pPr>
            <w:r>
              <w:rPr>
                <w:rFonts w:ascii="Calibri" w:cs="Calibri" w:eastAsia="Calibri" w:hAnsi="Calibri"/>
                <w:i/>
                <w:iCs/>
                <w:sz w:val="21"/>
                <w:szCs w:val="21"/>
              </w:rPr>
              <w:t xml:space="preserve">Cette résolution est adoptée [à l’unanimité des membres présents ou représentés / par … voix pour, … voix contre et … abstentions]. »</w:t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color w:val="082B50"/>
          <w:sz w:val="19"/>
          <w:szCs w:val="19"/>
        </w:rPr>
        <w:t xml:space="preserve">Écriture à passer à la date de l’assemblée (exercice [2027]) 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300"/>
        <w:gridCol w:w="5338"/>
        <w:gridCol w:w="1500"/>
        <w:gridCol w:w="1500"/>
      </w:tblGrid>
      <w:tr>
        <w:trPr>
          <w:tblHeader/>
        </w:trPr>
        <w:tc>
          <w:tcPr>
            <w:tcW w:type="dxa" w:w="1300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Compte</w:t>
            </w:r>
          </w:p>
        </w:tc>
        <w:tc>
          <w:tcPr>
            <w:tcW w:type="dxa" w:w="5338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Libellé</w:t>
            </w:r>
          </w:p>
        </w:tc>
        <w:tc>
          <w:tcPr>
            <w:tcW w:type="dxa" w:w="1500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Débit</w:t>
            </w:r>
          </w:p>
        </w:tc>
        <w:tc>
          <w:tcPr>
            <w:tcW w:type="dxa" w:w="1500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Crédit</w:t>
            </w:r>
          </w:p>
        </w:tc>
      </w:tr>
      <w:tr>
        <w:tc>
          <w:tcPr>
            <w:tcW w:type="dxa" w:w="13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120</w:t>
            </w:r>
          </w:p>
        </w:tc>
        <w:tc>
          <w:tcPr>
            <w:tcW w:type="dxa" w:w="53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Résultat de l’exercice (bénéfice)</w:t>
            </w:r>
          </w:p>
        </w:tc>
        <w:tc>
          <w:tcPr>
            <w:tcW w:type="dxa" w:w="1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[12 400]</w:t>
            </w:r>
          </w:p>
        </w:tc>
        <w:tc>
          <w:tcPr>
            <w:tcW w:type="dxa" w:w="1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13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119</w:t>
            </w:r>
          </w:p>
        </w:tc>
        <w:tc>
          <w:tcPr>
            <w:tcW w:type="dxa" w:w="53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Report à nouveau (solde débiteur)</w:t>
            </w:r>
          </w:p>
        </w:tc>
        <w:tc>
          <w:tcPr>
            <w:tcW w:type="dxa" w:w="1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  <w:tc>
          <w:tcPr>
            <w:tcW w:type="dxa" w:w="1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[7 000]</w:t>
            </w:r>
          </w:p>
        </w:tc>
      </w:tr>
      <w:tr>
        <w:tc>
          <w:tcPr>
            <w:tcW w:type="dxa" w:w="13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1068[x] ou 110</w:t>
            </w:r>
          </w:p>
        </w:tc>
        <w:tc>
          <w:tcPr>
            <w:tcW w:type="dxa" w:w="53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Réserves pour projet de l’entité / Report à nouveau</w:t>
            </w:r>
          </w:p>
        </w:tc>
        <w:tc>
          <w:tcPr>
            <w:tcW w:type="dxa" w:w="1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  <w:tc>
          <w:tcPr>
            <w:tcW w:type="dxa" w:w="1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[5 400]</w:t>
            </w:r>
          </w:p>
        </w:tc>
      </w:tr>
    </w:tbl>
    <w:p>
      <w:pPr>
        <w:spacing w:after="100" w:before="80"/>
      </w:pPr>
      <w:r>
        <w:rPr>
          <w:rFonts w:ascii="Calibri" w:cs="Calibri" w:eastAsia="Calibri" w:hAnsi="Calibri"/>
          <w:color w:val="6B7280"/>
          <w:sz w:val="19"/>
          <w:szCs w:val="19"/>
        </w:rPr>
        <w:t xml:space="preserve">Si l’excédent est inférieur ou égal au solde du 119, il est affecté en totalité à son apurement : supprimez le second tiret et la dernière ligne de l’écriture.</w:t>
      </w:r>
    </w:p>
    <w:p>
      <w:pPr>
        <w:pStyle w:val="Heading2"/>
        <w:pBdr>
          <w:bottom w:val="single" w:color="E0A52B" w:sz="8" w:space="4"/>
        </w:pBdr>
        <w:spacing w:after="120" w:before="280"/>
      </w:pPr>
      <w:r>
        <w:rPr>
          <w:rFonts w:ascii="Calibri" w:cs="Calibri" w:eastAsia="Calibri" w:hAnsi="Calibri"/>
          <w:b/>
          <w:bCs/>
          <w:color w:val="082B50"/>
          <w:sz w:val="28"/>
          <w:szCs w:val="28"/>
        </w:rPr>
        <w:t xml:space="preserve">Variante 5 — Déficit inscrit en report à nouveau débiteur</w:t>
      </w:r>
    </w:p>
    <w:p>
      <w:pPr>
        <w:spacing w:after="100" w:before="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Quand l’utiliser : </w:t>
      </w:r>
      <w:r>
        <w:rPr>
          <w:rFonts w:ascii="Calibri" w:cs="Calibri" w:eastAsia="Calibri" w:hAnsi="Calibri"/>
          <w:sz w:val="21"/>
          <w:szCs w:val="21"/>
        </w:rPr>
        <w:t xml:space="preserve">déficit, sans report à nouveau créditeur.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638"/>
      </w:tblGrid>
      <w:tr>
        <w:tc>
          <w:tcPr>
            <w:tcW w:type="dxa" w:w="9638"/>
            <w:tcBorders>
              <w:top w:val="none" w:color="FFFFFF" w:sz="0"/>
              <w:left w:val="single" w:color="E0A52B" w:sz="24"/>
              <w:bottom w:val="none" w:color="FFFFFF" w:sz="0"/>
              <w:right w:val="none" w:color="FFFFFF" w:sz="0"/>
            </w:tcBorders>
            <w:shd w:fill="F6F8FA" w:color="auto" w:val="clear"/>
            <w:tcMar>
              <w:top w:type="dxa" w:w="120"/>
              <w:left w:type="dxa" w:w="200"/>
              <w:bottom w:type="dxa" w:w="120"/>
              <w:right w:type="dxa" w:w="200"/>
            </w:tcMar>
          </w:tcPr>
          <w:p>
            <w:pPr>
              <w:spacing w:after="60" w:before="0"/>
            </w:pPr>
            <w:r>
              <w:rPr>
                <w:rFonts w:ascii="Calibri" w:cs="Calibri" w:eastAsia="Calibri" w:hAnsi="Calibri"/>
                <w:b/>
                <w:bCs/>
                <w:color w:val="082B50"/>
                <w:sz w:val="21"/>
                <w:szCs w:val="21"/>
              </w:rPr>
              <w:t xml:space="preserve">Résolution type</w:t>
            </w:r>
          </w:p>
          <w:p>
            <w:pPr>
              <w:spacing w:after="80" w:before="0"/>
            </w:pPr>
            <w:r>
              <w:rPr>
                <w:rFonts w:ascii="Calibri" w:cs="Calibri" w:eastAsia="Calibri" w:hAnsi="Calibri"/>
                <w:i/>
                <w:iCs/>
                <w:sz w:val="21"/>
                <w:szCs w:val="21"/>
              </w:rPr>
              <w:t xml:space="preserve">« [Troisième] résolution — Affectation du résultat. L’assemblée générale, sur proposition du [conseil d’administration], constate que l’exercice clos le [31 décembre 2026] fait apparaître un déficit de [6 000] € et décide de l’affecter au compte « Report à nouveau », dont le solde devient débiteur de [6 000] € [est porté de … € à … € débiteur].</w:t>
            </w:r>
          </w:p>
          <w:p>
            <w:pPr>
              <w:spacing w:after="80" w:before="0"/>
            </w:pPr>
            <w:r>
              <w:rPr>
                <w:rFonts w:ascii="Calibri" w:cs="Calibri" w:eastAsia="Calibri" w:hAnsi="Calibri"/>
                <w:i/>
                <w:iCs/>
                <w:sz w:val="21"/>
                <w:szCs w:val="21"/>
              </w:rPr>
              <w:t xml:space="preserve">Cette résolution est adoptée [à l’unanimité des membres présents ou représentés / par … voix pour, … voix contre et … abstentions]. »</w:t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color w:val="082B50"/>
          <w:sz w:val="19"/>
          <w:szCs w:val="19"/>
        </w:rPr>
        <w:t xml:space="preserve">Écriture à passer à la date de l’assemblée (exercice [2027]) 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300"/>
        <w:gridCol w:w="5338"/>
        <w:gridCol w:w="1500"/>
        <w:gridCol w:w="1500"/>
      </w:tblGrid>
      <w:tr>
        <w:trPr>
          <w:tblHeader/>
        </w:trPr>
        <w:tc>
          <w:tcPr>
            <w:tcW w:type="dxa" w:w="1300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Compte</w:t>
            </w:r>
          </w:p>
        </w:tc>
        <w:tc>
          <w:tcPr>
            <w:tcW w:type="dxa" w:w="5338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Libellé</w:t>
            </w:r>
          </w:p>
        </w:tc>
        <w:tc>
          <w:tcPr>
            <w:tcW w:type="dxa" w:w="1500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Débit</w:t>
            </w:r>
          </w:p>
        </w:tc>
        <w:tc>
          <w:tcPr>
            <w:tcW w:type="dxa" w:w="1500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Crédit</w:t>
            </w:r>
          </w:p>
        </w:tc>
      </w:tr>
      <w:tr>
        <w:tc>
          <w:tcPr>
            <w:tcW w:type="dxa" w:w="13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119</w:t>
            </w:r>
          </w:p>
        </w:tc>
        <w:tc>
          <w:tcPr>
            <w:tcW w:type="dxa" w:w="53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Report à nouveau (solde débiteur)</w:t>
            </w:r>
          </w:p>
        </w:tc>
        <w:tc>
          <w:tcPr>
            <w:tcW w:type="dxa" w:w="1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[6 000]</w:t>
            </w:r>
          </w:p>
        </w:tc>
        <w:tc>
          <w:tcPr>
            <w:tcW w:type="dxa" w:w="1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13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129</w:t>
            </w:r>
          </w:p>
        </w:tc>
        <w:tc>
          <w:tcPr>
            <w:tcW w:type="dxa" w:w="53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Résultat de l’exercice (perte)</w:t>
            </w:r>
          </w:p>
        </w:tc>
        <w:tc>
          <w:tcPr>
            <w:tcW w:type="dxa" w:w="1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  <w:tc>
          <w:tcPr>
            <w:tcW w:type="dxa" w:w="1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[6 000]</w:t>
            </w:r>
          </w:p>
        </w:tc>
      </w:tr>
    </w:tbl>
    <w:p>
      <w:pPr>
        <w:pStyle w:val="Heading2"/>
        <w:pBdr>
          <w:bottom w:val="single" w:color="E0A52B" w:sz="8" w:space="4"/>
        </w:pBdr>
        <w:spacing w:after="120" w:before="280"/>
      </w:pPr>
      <w:r>
        <w:rPr>
          <w:rFonts w:ascii="Calibri" w:cs="Calibri" w:eastAsia="Calibri" w:hAnsi="Calibri"/>
          <w:b/>
          <w:bCs/>
          <w:color w:val="082B50"/>
          <w:sz w:val="28"/>
          <w:szCs w:val="28"/>
        </w:rPr>
        <w:t xml:space="preserve">Variante 6 — Déficit imputé sur le report à nouveau créditeur</w:t>
      </w:r>
    </w:p>
    <w:p>
      <w:pPr>
        <w:spacing w:after="100" w:before="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Quand l’utiliser : </w:t>
      </w:r>
      <w:r>
        <w:rPr>
          <w:rFonts w:ascii="Calibri" w:cs="Calibri" w:eastAsia="Calibri" w:hAnsi="Calibri"/>
          <w:sz w:val="21"/>
          <w:szCs w:val="21"/>
        </w:rPr>
        <w:t xml:space="preserve">déficit alors que le compte 110 présente un solde créditeur. On reste sur le même report à nouveau : on n’ouvre pas un 119 à côté d’un 110.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638"/>
      </w:tblGrid>
      <w:tr>
        <w:tc>
          <w:tcPr>
            <w:tcW w:type="dxa" w:w="9638"/>
            <w:tcBorders>
              <w:top w:val="none" w:color="FFFFFF" w:sz="0"/>
              <w:left w:val="single" w:color="E0A52B" w:sz="24"/>
              <w:bottom w:val="none" w:color="FFFFFF" w:sz="0"/>
              <w:right w:val="none" w:color="FFFFFF" w:sz="0"/>
            </w:tcBorders>
            <w:shd w:fill="F6F8FA" w:color="auto" w:val="clear"/>
            <w:tcMar>
              <w:top w:type="dxa" w:w="120"/>
              <w:left w:type="dxa" w:w="200"/>
              <w:bottom w:type="dxa" w:w="120"/>
              <w:right w:type="dxa" w:w="200"/>
            </w:tcMar>
          </w:tcPr>
          <w:p>
            <w:pPr>
              <w:spacing w:after="60" w:before="0"/>
            </w:pPr>
            <w:r>
              <w:rPr>
                <w:rFonts w:ascii="Calibri" w:cs="Calibri" w:eastAsia="Calibri" w:hAnsi="Calibri"/>
                <w:b/>
                <w:bCs/>
                <w:color w:val="082B50"/>
                <w:sz w:val="21"/>
                <w:szCs w:val="21"/>
              </w:rPr>
              <w:t xml:space="preserve">Résolution type</w:t>
            </w:r>
          </w:p>
          <w:p>
            <w:pPr>
              <w:spacing w:after="80" w:before="0"/>
            </w:pPr>
            <w:r>
              <w:rPr>
                <w:rFonts w:ascii="Calibri" w:cs="Calibri" w:eastAsia="Calibri" w:hAnsi="Calibri"/>
                <w:i/>
                <w:iCs/>
                <w:sz w:val="21"/>
                <w:szCs w:val="21"/>
              </w:rPr>
              <w:t xml:space="preserve">« [Troisième] résolution — Affectation du résultat. L’assemblée générale, sur proposition du [conseil d’administration], constate que l’exercice clos le [31 décembre 2026] fait apparaître un déficit de [6 000] € et décide de l’imputer sur le report à nouveau créditeur, qui est ainsi ramené de [15 000] € à [9 000] €.</w:t>
            </w:r>
          </w:p>
          <w:p>
            <w:pPr>
              <w:spacing w:after="80" w:before="0"/>
            </w:pPr>
            <w:r>
              <w:rPr>
                <w:rFonts w:ascii="Calibri" w:cs="Calibri" w:eastAsia="Calibri" w:hAnsi="Calibri"/>
                <w:i/>
                <w:iCs/>
                <w:sz w:val="21"/>
                <w:szCs w:val="21"/>
              </w:rPr>
              <w:t xml:space="preserve">Cette résolution est adoptée [à l’unanimité des membres présents ou représentés / par … voix pour, … voix contre et … abstentions]. »</w:t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color w:val="082B50"/>
          <w:sz w:val="19"/>
          <w:szCs w:val="19"/>
        </w:rPr>
        <w:t xml:space="preserve">Écriture à passer à la date de l’assemblée (exercice [2027]) 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300"/>
        <w:gridCol w:w="5338"/>
        <w:gridCol w:w="1500"/>
        <w:gridCol w:w="1500"/>
      </w:tblGrid>
      <w:tr>
        <w:trPr>
          <w:tblHeader/>
        </w:trPr>
        <w:tc>
          <w:tcPr>
            <w:tcW w:type="dxa" w:w="1300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Compte</w:t>
            </w:r>
          </w:p>
        </w:tc>
        <w:tc>
          <w:tcPr>
            <w:tcW w:type="dxa" w:w="5338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Libellé</w:t>
            </w:r>
          </w:p>
        </w:tc>
        <w:tc>
          <w:tcPr>
            <w:tcW w:type="dxa" w:w="1500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Débit</w:t>
            </w:r>
          </w:p>
        </w:tc>
        <w:tc>
          <w:tcPr>
            <w:tcW w:type="dxa" w:w="1500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Crédit</w:t>
            </w:r>
          </w:p>
        </w:tc>
      </w:tr>
      <w:tr>
        <w:tc>
          <w:tcPr>
            <w:tcW w:type="dxa" w:w="13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110</w:t>
            </w:r>
          </w:p>
        </w:tc>
        <w:tc>
          <w:tcPr>
            <w:tcW w:type="dxa" w:w="53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Report à nouveau (solde créditeur)</w:t>
            </w:r>
          </w:p>
        </w:tc>
        <w:tc>
          <w:tcPr>
            <w:tcW w:type="dxa" w:w="1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[6 000]</w:t>
            </w:r>
          </w:p>
        </w:tc>
        <w:tc>
          <w:tcPr>
            <w:tcW w:type="dxa" w:w="1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13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129</w:t>
            </w:r>
          </w:p>
        </w:tc>
        <w:tc>
          <w:tcPr>
            <w:tcW w:type="dxa" w:w="53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Résultat de l’exercice (perte)</w:t>
            </w:r>
          </w:p>
        </w:tc>
        <w:tc>
          <w:tcPr>
            <w:tcW w:type="dxa" w:w="1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  <w:tc>
          <w:tcPr>
            <w:tcW w:type="dxa" w:w="1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[6 000]</w:t>
            </w:r>
          </w:p>
        </w:tc>
      </w:tr>
    </w:tbl>
    <w:p>
      <w:pPr>
        <w:spacing w:after="100" w:before="80"/>
      </w:pPr>
      <w:r>
        <w:rPr>
          <w:rFonts w:ascii="Calibri" w:cs="Calibri" w:eastAsia="Calibri" w:hAnsi="Calibri"/>
          <w:color w:val="6B7280"/>
          <w:sz w:val="19"/>
          <w:szCs w:val="19"/>
        </w:rPr>
        <w:t xml:space="preserve">Si le déficit dépasse le solde du 110 : débitez le 110 de la totalité de son solde et le 119 du reste ; la résolution indique alors que « le report à nouveau devient débiteur de … € ».</w:t>
      </w:r>
    </w:p>
    <w:p>
      <w:pPr>
        <w:pStyle w:val="Heading2"/>
        <w:pBdr>
          <w:bottom w:val="single" w:color="E0A52B" w:sz="8" w:space="4"/>
        </w:pBdr>
        <w:spacing w:after="120" w:before="280"/>
      </w:pPr>
      <w:r>
        <w:rPr>
          <w:rFonts w:ascii="Calibri" w:cs="Calibri" w:eastAsia="Calibri" w:hAnsi="Calibri"/>
          <w:b/>
          <w:bCs/>
          <w:color w:val="082B50"/>
          <w:sz w:val="28"/>
          <w:szCs w:val="28"/>
        </w:rPr>
        <w:t xml:space="preserve">À vérifier avant l’assemblée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rPr>
          <w:rFonts w:ascii="Calibri" w:cs="Calibri" w:eastAsia="Calibri" w:hAnsi="Calibri"/>
          <w:sz w:val="21"/>
          <w:szCs w:val="21"/>
        </w:rPr>
        <w:t xml:space="preserve">La proposition d’affectation a été arrêtée par l’organe désigné par les statuts et jointe à la convocation.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rPr>
          <w:rFonts w:ascii="Calibri" w:cs="Calibri" w:eastAsia="Calibri" w:hAnsi="Calibri"/>
          <w:sz w:val="21"/>
          <w:szCs w:val="21"/>
        </w:rPr>
        <w:t xml:space="preserve">Le report à nouveau débiteur (119) éventuel est apuré avant toute dotation de réserve.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rPr>
          <w:rFonts w:ascii="Calibri" w:cs="Calibri" w:eastAsia="Calibri" w:hAnsi="Calibri"/>
          <w:sz w:val="21"/>
          <w:szCs w:val="21"/>
        </w:rPr>
        <w:t xml:space="preserve">Il n’existe qu’un seul report à nouveau dans la balance : 110 ou 119, jamais les deux.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rPr>
          <w:rFonts w:ascii="Calibri" w:cs="Calibri" w:eastAsia="Calibri" w:hAnsi="Calibri"/>
          <w:sz w:val="21"/>
          <w:szCs w:val="21"/>
        </w:rPr>
        <w:t xml:space="preserve">Chaque réserve pour projet a un objet précis, décrit dans la résolution.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rPr>
          <w:rFonts w:ascii="Calibri" w:cs="Calibri" w:eastAsia="Calibri" w:hAnsi="Calibri"/>
          <w:sz w:val="21"/>
          <w:szCs w:val="21"/>
        </w:rPr>
        <w:t xml:space="preserve">Les dons affectés par les donateurs à un projet relèvent des fonds dédiés, pas des réserves.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rPr>
          <w:rFonts w:ascii="Calibri" w:cs="Calibri" w:eastAsia="Calibri" w:hAnsi="Calibri"/>
          <w:sz w:val="21"/>
          <w:szCs w:val="21"/>
        </w:rPr>
        <w:t xml:space="preserve">Les montants de la résolution sont égaux à ceux du compte de résultat et de l’écriture (débit = crédit).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rPr>
          <w:rFonts w:ascii="Calibri" w:cs="Calibri" w:eastAsia="Calibri" w:hAnsi="Calibri"/>
          <w:sz w:val="21"/>
          <w:szCs w:val="21"/>
        </w:rPr>
        <w:t xml:space="preserve">Après l’assemblée : écriture passée à la date du vote, procès-verbal classé, affectation reprise dans le tableau de variation des fonds propres de l’annexe de l’exercice suivant.</w:t>
      </w:r>
    </w:p>
    <w:p>
      <w:pPr>
        <w:pStyle w:val="ListParagraph"/>
        <w:numPr>
          <w:ilvl w:val="0"/>
          <w:numId w:val="2"/>
        </w:numPr>
        <w:spacing w:after="120" w:before="0"/>
      </w:pPr>
      <w:r>
        <w:rPr>
          <w:rFonts w:ascii="Calibri" w:cs="Calibri" w:eastAsia="Calibri" w:hAnsi="Calibri"/>
          <w:sz w:val="21"/>
          <w:szCs w:val="21"/>
        </w:rPr>
        <w:t xml:space="preserve">Besoin d’un avis sur votre situation : monassocultuelle.com/besoin-professionnel</w:t>
      </w:r>
    </w:p>
    <w:p>
      <w:pPr>
        <w:spacing w:after="100" w:before="200"/>
      </w:pPr>
      <w:r>
        <w:rPr>
          <w:rFonts w:ascii="Calibri" w:cs="Calibri" w:eastAsia="Calibri" w:hAnsi="Calibri"/>
          <w:color w:val="6B7280"/>
          <w:sz w:val="17"/>
          <w:szCs w:val="17"/>
        </w:rPr>
        <w:t xml:space="preserve">Textes : loi du 9 décembre 1905, art. 19 (approbation annuelle par l’assemblée générale), 19-2 et 22 ; règlement ANC n° 2018-06, art. 131-1, 331-3 (compte 1068) et 431-5 (tableau de variation des fonds propres) ; plan de comptes des associations, comptes 1063, 1068, 110, 119, 120 et 129.</w:t>
      </w:r>
    </w:p>
    <w:p>
      <w:pPr>
        <w:spacing w:after="100" w:before="80"/>
      </w:pPr>
      <w:r>
        <w:rPr>
          <w:rFonts w:ascii="Calibri" w:cs="Calibri" w:eastAsia="Calibri" w:hAnsi="Calibri"/>
          <w:i/>
          <w:iCs/>
          <w:color w:val="6B7280"/>
          <w:sz w:val="17"/>
          <w:szCs w:val="17"/>
        </w:rPr>
        <w:t xml:space="preserve">Modèles fournis à titre indicatif, à adapter à vos statuts et à votre situation. Ne constitue pas une consultation individualisée. Textes vérifiés le 2 octobre 2026.</w:t>
      </w:r>
    </w:p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6B7280"/>
        <w:sz w:val="15"/>
        <w:szCs w:val="15"/>
      </w:rPr>
      <w:t xml:space="preserve">Samuel PETE — Mon Asso Cultuelle — E19 Modèles de résolutions d’affectation du résultat — version 2026-10 — monassocultuelle.com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360" w:hanging="2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E19 — Modèles de résolutions d’affectation du résultat</dc:title>
  <dc:creator>Samuel PETE</dc:creator>
  <cp:lastModifiedBy>Un-named</cp:lastModifiedBy>
  <cp:revision>1</cp:revision>
  <dcterms:created xsi:type="dcterms:W3CDTF">2026-10-02T16:24:42.532Z</dcterms:created>
  <dcterms:modified xsi:type="dcterms:W3CDTF">2026-10-02T16:24:42.544Z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