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B37F12"/>
          <w:sz w:val="18"/>
          <w:szCs w:val="18"/>
        </w:rPr>
        <w:t xml:space="preserve">OUTIL E12 · MON ASSO CULTUELLE</w:t>
      </w:r>
    </w:p>
    <w:p>
      <w:pPr>
        <w:pStyle w:val="Heading1"/>
        <w:spacing w:after="120"/>
      </w:pPr>
      <w:r>
        <w:rPr>
          <w:rFonts w:ascii="Calibri" w:cs="Calibri" w:eastAsia="Calibri" w:hAnsi="Calibri"/>
          <w:b/>
          <w:bCs/>
          <w:color w:val="082B50"/>
          <w:sz w:val="38"/>
          <w:szCs w:val="38"/>
        </w:rPr>
        <w:t xml:space="preserve">Kit double structure : association cultuelle 1905 + association 1901</w:t>
      </w:r>
    </w:p>
    <w:p>
      <w:pPr>
        <w:spacing w:after="160" w:before="0"/>
      </w:pPr>
      <w:r>
        <w:rPr>
          <w:rFonts w:ascii="Calibri" w:cs="Calibri" w:eastAsia="Calibri" w:hAnsi="Calibri"/>
          <w:sz w:val="21"/>
          <w:szCs w:val="21"/>
        </w:rPr>
        <w:t xml:space="preserve">Pour répartir les activités entre les deux associations, encadrer ce qu’elles partagent et faire voter les bonnes décisions.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single" w:color="E0A52B" w:sz="24"/>
              <w:bottom w:val="none" w:color="FFFFFF" w:sz="0"/>
              <w:right w:val="none" w:color="FFFFFF" w:sz="0"/>
            </w:tcBorders>
            <w:shd w:fill="FDF4E1" w:color="auto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60" w:before="0"/>
            </w:pPr>
            <w:r>
              <w:rPr>
                <w:rFonts w:ascii="Calibri" w:cs="Calibri" w:eastAsia="Calibri" w:hAnsi="Calibri"/>
                <w:b/>
                <w:bCs/>
                <w:color w:val="082B50"/>
                <w:sz w:val="21"/>
                <w:szCs w:val="21"/>
              </w:rPr>
              <w:t xml:space="preserve">Mode d’emploi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Complétez les colonnes vides. Les lignes en gris italique sont des exemples : effacez-les ou écrivez par-dessus.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Faites la partie 1 avant tout : la répartition des activités commande le reste.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0" w:before="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Qui : le président (parties 1 et 2), les trésoriers (partie 3), le secrétaire (parties 4 et 5). Temps total : environ 6 heures.</w:t>
            </w:r>
          </w:p>
        </w:tc>
      </w:tr>
    </w:tbl>
    <w:p>
      <w:pPr>
        <w:pStyle w:val="Heading2"/>
        <w:pBdr>
          <w:bottom w:val="single" w:color="E0A52B" w:sz="8" w:space="4"/>
        </w:pBdr>
        <w:spacing w:after="120" w:before="280"/>
      </w:pPr>
      <w:r>
        <w:rPr>
          <w:rFonts w:ascii="Calibri" w:cs="Calibri" w:eastAsia="Calibri" w:hAnsi="Calibri"/>
          <w:b/>
          <w:bCs/>
          <w:color w:val="082B50"/>
          <w:sz w:val="28"/>
          <w:szCs w:val="28"/>
        </w:rPr>
        <w:t xml:space="preserve">1. Inventaire et répartition des activités</w:t>
      </w:r>
    </w:p>
    <w:p>
      <w:pPr>
        <w:spacing w:after="120" w:before="0"/>
      </w:pPr>
      <w:r>
        <w:rPr>
          <w:rFonts w:ascii="Calibri" w:cs="Calibri" w:eastAsia="Calibri" w:hAnsi="Calibri"/>
          <w:sz w:val="21"/>
          <w:szCs w:val="21"/>
        </w:rPr>
        <w:t xml:space="preserve">Règle : si l’activité relève de l’exercice du culte, elle va dans l’association cultuelle. Sinon, dans l’association 1901.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1100"/>
        <w:gridCol w:w="1700"/>
        <w:gridCol w:w="1900"/>
        <w:gridCol w:w="2338"/>
      </w:tblGrid>
      <w:tr>
        <w:trPr>
          <w:tblHeader/>
        </w:trPr>
        <w:tc>
          <w:tcPr>
            <w:tcW w:type="dxa" w:w="2600"/>
            <w:shd w:fill="0B3A6E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Activité</w:t>
            </w:r>
          </w:p>
        </w:tc>
        <w:tc>
          <w:tcPr>
            <w:tcW w:type="dxa" w:w="1100"/>
            <w:shd w:fill="0B3A6E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Culte ?</w:t>
            </w:r>
          </w:p>
        </w:tc>
        <w:tc>
          <w:tcPr>
            <w:tcW w:type="dxa" w:w="1700"/>
            <w:shd w:fill="0B3A6E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Association porteuse</w:t>
            </w:r>
          </w:p>
        </w:tc>
        <w:tc>
          <w:tcPr>
            <w:tcW w:type="dxa" w:w="1900"/>
            <w:shd w:fill="0B3A6E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Compte bancaire</w:t>
            </w:r>
          </w:p>
        </w:tc>
        <w:tc>
          <w:tcPr>
            <w:tcW w:type="dxa" w:w="2338"/>
            <w:shd w:fill="0B3A6E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Action à mener</w:t>
            </w:r>
          </w:p>
        </w:tc>
      </w:tr>
      <w:tr>
        <w:tc>
          <w:tcPr>
            <w:tcW w:type="dxa" w:w="2600"/>
            <w:shd w:fill="F6F8FA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6B7280"/>
                <w:sz w:val="19"/>
                <w:szCs w:val="19"/>
              </w:rPr>
              <w:t xml:space="preserve">Banque alimentaire (exemple)</w:t>
            </w:r>
          </w:p>
        </w:tc>
        <w:tc>
          <w:tcPr>
            <w:tcW w:type="dxa" w:w="1100"/>
            <w:shd w:fill="F6F8FA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6B7280"/>
                <w:sz w:val="19"/>
                <w:szCs w:val="19"/>
              </w:rPr>
              <w:t xml:space="preserve">Non</w:t>
            </w:r>
          </w:p>
        </w:tc>
        <w:tc>
          <w:tcPr>
            <w:tcW w:type="dxa" w:w="1700"/>
            <w:shd w:fill="F6F8FA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6B7280"/>
                <w:sz w:val="19"/>
                <w:szCs w:val="19"/>
              </w:rPr>
              <w:t xml:space="preserve">Association 1901</w:t>
            </w:r>
          </w:p>
        </w:tc>
        <w:tc>
          <w:tcPr>
            <w:tcW w:type="dxa" w:w="1900"/>
            <w:shd w:fill="F6F8FA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6B7280"/>
                <w:sz w:val="19"/>
                <w:szCs w:val="19"/>
              </w:rPr>
              <w:t xml:space="preserve">Compte 1901</w:t>
            </w:r>
          </w:p>
        </w:tc>
        <w:tc>
          <w:tcPr>
            <w:tcW w:type="dxa" w:w="2338"/>
            <w:shd w:fill="F6F8FA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6B7280"/>
                <w:sz w:val="19"/>
                <w:szCs w:val="19"/>
              </w:rPr>
              <w:t xml:space="preserve">Transférer, collecte séparée</w:t>
            </w:r>
          </w:p>
        </w:tc>
      </w:tr>
      <w:tr>
        <w:tc>
          <w:tcPr>
            <w:tcW w:type="dxa" w:w="26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Cultes du dimanche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2338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6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Rémunération du pasteur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2338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6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2338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6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2338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6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2338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6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2338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6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2338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</w:tbl>
    <w:p>
      <w:pPr>
        <w:pStyle w:val="Heading2"/>
        <w:pBdr>
          <w:bottom w:val="single" w:color="E0A52B" w:sz="8" w:space="4"/>
        </w:pBdr>
        <w:spacing w:after="120" w:before="280"/>
      </w:pPr>
      <w:r>
        <w:rPr>
          <w:rFonts w:ascii="Calibri" w:cs="Calibri" w:eastAsia="Calibri" w:hAnsi="Calibri"/>
          <w:b/>
          <w:bCs/>
          <w:color w:val="082B50"/>
          <w:sz w:val="28"/>
          <w:szCs w:val="28"/>
        </w:rPr>
        <w:t xml:space="preserve">2. Ce qui peut circuler entre les deux associations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1300"/>
        <w:gridCol w:w="3200"/>
        <w:gridCol w:w="2638"/>
      </w:tblGrid>
      <w:tr>
        <w:trPr>
          <w:tblHeader/>
        </w:trPr>
        <w:tc>
          <w:tcPr>
            <w:tcW w:type="dxa" w:w="2500"/>
            <w:shd w:fill="0B3A6E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Flux</w:t>
            </w:r>
          </w:p>
        </w:tc>
        <w:tc>
          <w:tcPr>
            <w:tcW w:type="dxa" w:w="1300"/>
            <w:shd w:fill="0B3A6E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Autorisé ?</w:t>
            </w:r>
          </w:p>
        </w:tc>
        <w:tc>
          <w:tcPr>
            <w:tcW w:type="dxa" w:w="3200"/>
            <w:shd w:fill="0B3A6E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Condition</w:t>
            </w:r>
          </w:p>
        </w:tc>
        <w:tc>
          <w:tcPr>
            <w:tcW w:type="dxa" w:w="2638"/>
            <w:shd w:fill="0B3A6E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Document</w:t>
            </w:r>
          </w:p>
        </w:tc>
      </w:tr>
      <w:tr>
        <w:tc>
          <w:tcPr>
            <w:tcW w:type="dxa" w:w="25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Mise à disposition de locaux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Oui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Participation aux frais réels</w:t>
            </w:r>
          </w:p>
        </w:tc>
        <w:tc>
          <w:tcPr>
            <w:tcW w:type="dxa" w:w="2638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Convention (partie 4)</w:t>
            </w:r>
          </w:p>
        </w:tc>
      </w:tr>
      <w:tr>
        <w:tc>
          <w:tcPr>
            <w:tcW w:type="dxa" w:w="25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Prêt de matériel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Oui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Participation ou inventaire</w:t>
            </w:r>
          </w:p>
        </w:tc>
        <w:tc>
          <w:tcPr>
            <w:tcW w:type="dxa" w:w="2638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Convention (partie 4)</w:t>
            </w:r>
          </w:p>
        </w:tc>
      </w:tr>
      <w:tr>
        <w:tc>
          <w:tcPr>
            <w:tcW w:type="dxa" w:w="25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Salarié travaillant pour les deux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Oui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Accord du salarié, avenant, refacturation au coût sans marge (C. trav., art. L. 8241-2)</w:t>
            </w:r>
          </w:p>
        </w:tc>
        <w:tc>
          <w:tcPr>
            <w:tcW w:type="dxa" w:w="2638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Convention de prêt de main-d’œuvre</w:t>
            </w:r>
          </w:p>
        </w:tc>
      </w:tr>
      <w:tr>
        <w:tc>
          <w:tcPr>
            <w:tcW w:type="dxa" w:w="25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Versement de fonds de l’association cultuelle à la 1901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Non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Recettes réservées au culte (décret du 16 mars 1906, art. 33)</w:t>
            </w:r>
          </w:p>
        </w:tc>
        <w:tc>
          <w:tcPr>
            <w:tcW w:type="dxa" w:w="2638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dxa" w:w="25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Reversement de dons de la 1901 au culte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Non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Les dons financent l’objet de la 1901</w:t>
            </w:r>
          </w:p>
        </w:tc>
        <w:tc>
          <w:tcPr>
            <w:tcW w:type="dxa" w:w="2638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dxa" w:w="25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Collectes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Séparées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Une collecte et une feuille de comptage par association</w:t>
            </w:r>
          </w:p>
        </w:tc>
        <w:tc>
          <w:tcPr>
            <w:tcW w:type="dxa" w:w="2638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Feuilles de comptage</w:t>
            </w:r>
          </w:p>
        </w:tc>
      </w:tr>
    </w:tbl>
    <w:p>
      <w:pPr>
        <w:pStyle w:val="Heading2"/>
        <w:pBdr>
          <w:bottom w:val="single" w:color="E0A52B" w:sz="8" w:space="4"/>
        </w:pBdr>
        <w:spacing w:after="120" w:before="280"/>
      </w:pPr>
      <w:r>
        <w:rPr>
          <w:rFonts w:ascii="Calibri" w:cs="Calibri" w:eastAsia="Calibri" w:hAnsi="Calibri"/>
          <w:b/>
          <w:bCs/>
          <w:color w:val="082B50"/>
          <w:sz w:val="28"/>
          <w:szCs w:val="28"/>
        </w:rPr>
        <w:t xml:space="preserve">3. Calcul de la participation aux frais de locaux</w:t>
      </w:r>
    </w:p>
    <w:p>
      <w:pPr>
        <w:spacing w:after="120" w:before="0"/>
      </w:pPr>
      <w:r>
        <w:rPr>
          <w:rFonts w:ascii="Calibri" w:cs="Calibri" w:eastAsia="Calibri" w:hAnsi="Calibri"/>
          <w:sz w:val="21"/>
          <w:szCs w:val="21"/>
        </w:rPr>
        <w:t xml:space="preserve">Clé de répartition proposée : heures d’occupation par l’association 1901 ÷ heures d’utilisation totales.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2000"/>
        <w:gridCol w:w="2200"/>
        <w:gridCol w:w="2238"/>
      </w:tblGrid>
      <w:tr>
        <w:trPr>
          <w:tblHeader/>
        </w:trPr>
        <w:tc>
          <w:tcPr>
            <w:tcW w:type="dxa" w:w="3200"/>
            <w:shd w:fill="0B3A6E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Charge annuelle</w:t>
            </w:r>
          </w:p>
        </w:tc>
        <w:tc>
          <w:tcPr>
            <w:tcW w:type="dxa" w:w="2000"/>
            <w:shd w:fill="0B3A6E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Montant (€)</w:t>
            </w:r>
          </w:p>
        </w:tc>
        <w:tc>
          <w:tcPr>
            <w:tcW w:type="dxa" w:w="2200"/>
            <w:shd w:fill="0B3A6E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Clé (part 1901)</w:t>
            </w:r>
          </w:p>
        </w:tc>
        <w:tc>
          <w:tcPr>
            <w:tcW w:type="dxa" w:w="2238"/>
            <w:shd w:fill="0B3A6E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Part due par la 1901 (€)</w:t>
            </w:r>
          </w:p>
        </w:tc>
      </w:tr>
      <w:tr>
        <w:tc>
          <w:tcPr>
            <w:tcW w:type="dxa" w:w="3200"/>
            <w:shd w:fill="F6F8FA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6B7280"/>
                <w:sz w:val="19"/>
                <w:szCs w:val="19"/>
              </w:rPr>
              <w:t xml:space="preserve">Loyer et charges (exemple)</w:t>
            </w:r>
          </w:p>
        </w:tc>
        <w:tc>
          <w:tcPr>
            <w:tcW w:type="dxa" w:w="2000"/>
            <w:shd w:fill="F6F8FA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6B7280"/>
                <w:sz w:val="19"/>
                <w:szCs w:val="19"/>
              </w:rPr>
              <w:t xml:space="preserve">18 000</w:t>
            </w:r>
          </w:p>
        </w:tc>
        <w:tc>
          <w:tcPr>
            <w:tcW w:type="dxa" w:w="2200"/>
            <w:shd w:fill="F6F8FA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6B7280"/>
                <w:sz w:val="19"/>
                <w:szCs w:val="19"/>
              </w:rPr>
              <w:t xml:space="preserve">6 h / 36 h = 1/6</w:t>
            </w:r>
          </w:p>
        </w:tc>
        <w:tc>
          <w:tcPr>
            <w:tcW w:type="dxa" w:w="2238"/>
            <w:shd w:fill="F6F8FA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6B7280"/>
                <w:sz w:val="19"/>
                <w:szCs w:val="19"/>
              </w:rPr>
              <w:t xml:space="preserve">3 000</w:t>
            </w:r>
          </w:p>
        </w:tc>
      </w:tr>
      <w:tr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Loyer ou amortissement</w:t>
            </w:r>
          </w:p>
        </w:tc>
        <w:tc>
          <w:tcPr>
            <w:tcW w:type="dxa" w:w="20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22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2238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Chauffage, électricité, eau</w:t>
            </w:r>
          </w:p>
        </w:tc>
        <w:tc>
          <w:tcPr>
            <w:tcW w:type="dxa" w:w="20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22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2238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Assurance</w:t>
            </w:r>
          </w:p>
        </w:tc>
        <w:tc>
          <w:tcPr>
            <w:tcW w:type="dxa" w:w="20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22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2238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Entretien, ménage</w:t>
            </w:r>
          </w:p>
        </w:tc>
        <w:tc>
          <w:tcPr>
            <w:tcW w:type="dxa" w:w="20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22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2238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Total</w:t>
            </w:r>
          </w:p>
        </w:tc>
        <w:tc>
          <w:tcPr>
            <w:tcW w:type="dxa" w:w="20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22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2238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</w:tbl>
    <w:p>
      <w:pPr>
        <w:pStyle w:val="Heading2"/>
        <w:pBdr>
          <w:bottom w:val="single" w:color="E0A52B" w:sz="8" w:space="4"/>
        </w:pBdr>
        <w:spacing w:after="120" w:before="280"/>
      </w:pPr>
      <w:r>
        <w:rPr>
          <w:rFonts w:ascii="Calibri" w:cs="Calibri" w:eastAsia="Calibri" w:hAnsi="Calibri"/>
          <w:b/>
          <w:bCs/>
          <w:color w:val="082B50"/>
          <w:sz w:val="28"/>
          <w:szCs w:val="28"/>
        </w:rPr>
        <w:t xml:space="preserve">4. Modèle de convention de mise à disposition</w:t>
      </w:r>
    </w:p>
    <w:p>
      <w:pPr>
        <w:spacing w:after="80" w:before="0"/>
      </w:pPr>
      <w:r>
        <w:rPr>
          <w:rFonts w:ascii="Calibri" w:cs="Calibri" w:eastAsia="Calibri" w:hAnsi="Calibri"/>
          <w:b/>
          <w:bCs/>
          <w:color w:val="082B50"/>
          <w:sz w:val="21"/>
          <w:szCs w:val="21"/>
        </w:rPr>
        <w:t xml:space="preserve">Parties — </w:t>
      </w:r>
      <w:r>
        <w:rPr>
          <w:rFonts w:ascii="Calibri" w:cs="Calibri" w:eastAsia="Calibri" w:hAnsi="Calibri"/>
          <w:sz w:val="21"/>
          <w:szCs w:val="21"/>
        </w:rPr>
        <w:t xml:space="preserve">L’association cultuelle [nom], déclarée à [préfecture] le [date], représentée par son président, et l’association [nom], déclarée le [date], représentée par son président.</w:t>
      </w:r>
    </w:p>
    <w:p>
      <w:pPr>
        <w:spacing w:after="80" w:before="0"/>
      </w:pPr>
      <w:r>
        <w:rPr>
          <w:rFonts w:ascii="Calibri" w:cs="Calibri" w:eastAsia="Calibri" w:hAnsi="Calibri"/>
          <w:b/>
          <w:bCs/>
          <w:color w:val="082B50"/>
          <w:sz w:val="21"/>
          <w:szCs w:val="21"/>
        </w:rPr>
        <w:t xml:space="preserve">Objet — </w:t>
      </w:r>
      <w:r>
        <w:rPr>
          <w:rFonts w:ascii="Calibri" w:cs="Calibri" w:eastAsia="Calibri" w:hAnsi="Calibri"/>
          <w:sz w:val="21"/>
          <w:szCs w:val="21"/>
        </w:rPr>
        <w:t xml:space="preserve">L’association cultuelle met à disposition de l’association 1901 les locaux et moyens décrits ci-dessous, pour ses seules activités statutaires.</w:t>
      </w:r>
    </w:p>
    <w:p>
      <w:pPr>
        <w:spacing w:after="80" w:before="0"/>
      </w:pPr>
      <w:r>
        <w:rPr>
          <w:rFonts w:ascii="Calibri" w:cs="Calibri" w:eastAsia="Calibri" w:hAnsi="Calibri"/>
          <w:b/>
          <w:bCs/>
          <w:color w:val="082B50"/>
          <w:sz w:val="21"/>
          <w:szCs w:val="21"/>
        </w:rPr>
        <w:t xml:space="preserve">Locaux et créneaux — </w:t>
      </w:r>
      <w:r>
        <w:rPr>
          <w:rFonts w:ascii="Calibri" w:cs="Calibri" w:eastAsia="Calibri" w:hAnsi="Calibri"/>
          <w:sz w:val="21"/>
          <w:szCs w:val="21"/>
        </w:rPr>
        <w:t xml:space="preserve">[salles], [jours et heures]. Toute occupation supplémentaire fait l’objet d’un accord écrit.</w:t>
      </w:r>
    </w:p>
    <w:p>
      <w:pPr>
        <w:spacing w:after="80" w:before="0"/>
      </w:pPr>
      <w:r>
        <w:rPr>
          <w:rFonts w:ascii="Calibri" w:cs="Calibri" w:eastAsia="Calibri" w:hAnsi="Calibri"/>
          <w:b/>
          <w:bCs/>
          <w:color w:val="082B50"/>
          <w:sz w:val="21"/>
          <w:szCs w:val="21"/>
        </w:rPr>
        <w:t xml:space="preserve">Matériel — </w:t>
      </w:r>
      <w:r>
        <w:rPr>
          <w:rFonts w:ascii="Calibri" w:cs="Calibri" w:eastAsia="Calibri" w:hAnsi="Calibri"/>
          <w:sz w:val="21"/>
          <w:szCs w:val="21"/>
        </w:rPr>
        <w:t xml:space="preserve">[liste]. L’association 1901 en assure la garde et le signale en cas de dommage.</w:t>
      </w:r>
    </w:p>
    <w:p>
      <w:pPr>
        <w:spacing w:after="80" w:before="0"/>
      </w:pPr>
      <w:r>
        <w:rPr>
          <w:rFonts w:ascii="Calibri" w:cs="Calibri" w:eastAsia="Calibri" w:hAnsi="Calibri"/>
          <w:b/>
          <w:bCs/>
          <w:color w:val="082B50"/>
          <w:sz w:val="21"/>
          <w:szCs w:val="21"/>
        </w:rPr>
        <w:t xml:space="preserve">Personnel — </w:t>
      </w:r>
      <w:r>
        <w:rPr>
          <w:rFonts w:ascii="Calibri" w:cs="Calibri" w:eastAsia="Calibri" w:hAnsi="Calibri"/>
          <w:sz w:val="21"/>
          <w:szCs w:val="21"/>
        </w:rPr>
        <w:t xml:space="preserve">Le cas échéant, renvoi à la convention de prêt de main-d’œuvre à but non lucratif signée avec l’accord du salarié.</w:t>
      </w:r>
    </w:p>
    <w:p>
      <w:pPr>
        <w:spacing w:after="80" w:before="0"/>
      </w:pPr>
      <w:r>
        <w:rPr>
          <w:rFonts w:ascii="Calibri" w:cs="Calibri" w:eastAsia="Calibri" w:hAnsi="Calibri"/>
          <w:b/>
          <w:bCs/>
          <w:color w:val="082B50"/>
          <w:sz w:val="21"/>
          <w:szCs w:val="21"/>
        </w:rPr>
        <w:t xml:space="preserve">Participation aux frais — </w:t>
      </w:r>
      <w:r>
        <w:rPr>
          <w:rFonts w:ascii="Calibri" w:cs="Calibri" w:eastAsia="Calibri" w:hAnsi="Calibri"/>
          <w:sz w:val="21"/>
          <w:szCs w:val="21"/>
        </w:rPr>
        <w:t xml:space="preserve">[montant] € par an, calculés selon la clé de la partie 3, réglés par virement [mensuel / trimestriel]. Révision annuelle.</w:t>
      </w:r>
    </w:p>
    <w:p>
      <w:pPr>
        <w:spacing w:after="80" w:before="0"/>
      </w:pPr>
      <w:r>
        <w:rPr>
          <w:rFonts w:ascii="Calibri" w:cs="Calibri" w:eastAsia="Calibri" w:hAnsi="Calibri"/>
          <w:b/>
          <w:bCs/>
          <w:color w:val="082B50"/>
          <w:sz w:val="21"/>
          <w:szCs w:val="21"/>
        </w:rPr>
        <w:t xml:space="preserve">Assurance — </w:t>
      </w:r>
      <w:r>
        <w:rPr>
          <w:rFonts w:ascii="Calibri" w:cs="Calibri" w:eastAsia="Calibri" w:hAnsi="Calibri"/>
          <w:sz w:val="21"/>
          <w:szCs w:val="21"/>
        </w:rPr>
        <w:t xml:space="preserve">Chaque association assure ses propres activités et sa responsabilité civile. Attestations échangées chaque année.</w:t>
      </w:r>
    </w:p>
    <w:p>
      <w:pPr>
        <w:spacing w:after="80" w:before="0"/>
      </w:pPr>
      <w:r>
        <w:rPr>
          <w:rFonts w:ascii="Calibri" w:cs="Calibri" w:eastAsia="Calibri" w:hAnsi="Calibri"/>
          <w:b/>
          <w:bCs/>
          <w:color w:val="082B50"/>
          <w:sz w:val="21"/>
          <w:szCs w:val="21"/>
        </w:rPr>
        <w:t xml:space="preserve">Indépendance — </w:t>
      </w:r>
      <w:r>
        <w:rPr>
          <w:rFonts w:ascii="Calibri" w:cs="Calibri" w:eastAsia="Calibri" w:hAnsi="Calibri"/>
          <w:sz w:val="21"/>
          <w:szCs w:val="21"/>
        </w:rPr>
        <w:t xml:space="preserve">Chaque association conserve ses comptes, ses ressources et ses reçus fiscaux. Aucune ressource de l’une n’est affectée à l’objet de l’autre.</w:t>
      </w:r>
    </w:p>
    <w:p>
      <w:pPr>
        <w:spacing w:after="80" w:before="0"/>
      </w:pPr>
      <w:r>
        <w:rPr>
          <w:rFonts w:ascii="Calibri" w:cs="Calibri" w:eastAsia="Calibri" w:hAnsi="Calibri"/>
          <w:b/>
          <w:bCs/>
          <w:color w:val="082B50"/>
          <w:sz w:val="21"/>
          <w:szCs w:val="21"/>
        </w:rPr>
        <w:t xml:space="preserve">Durée — </w:t>
      </w:r>
      <w:r>
        <w:rPr>
          <w:rFonts w:ascii="Calibri" w:cs="Calibri" w:eastAsia="Calibri" w:hAnsi="Calibri"/>
          <w:sz w:val="21"/>
          <w:szCs w:val="21"/>
        </w:rPr>
        <w:t xml:space="preserve">Un an, renouvelable par tacite reconduction. Résiliation par l’une ou l’autre partie avec un préavis de trois mois.</w:t>
      </w:r>
    </w:p>
    <w:p>
      <w:pPr>
        <w:spacing w:after="100" w:before="120"/>
      </w:pPr>
      <w:r>
        <w:rPr>
          <w:rFonts w:ascii="Calibri" w:cs="Calibri" w:eastAsia="Calibri" w:hAnsi="Calibri"/>
          <w:sz w:val="21"/>
          <w:szCs w:val="21"/>
        </w:rPr>
        <w:t xml:space="preserve">Fait à ....................., le ....../....../..........  — Signatures des deux présidents.</w:t>
      </w:r>
    </w:p>
    <w:p>
      <w:pPr>
        <w:pStyle w:val="Heading2"/>
        <w:pBdr>
          <w:bottom w:val="single" w:color="E0A52B" w:sz="8" w:space="4"/>
        </w:pBdr>
        <w:spacing w:after="120" w:before="280"/>
      </w:pPr>
      <w:r>
        <w:rPr>
          <w:rFonts w:ascii="Calibri" w:cs="Calibri" w:eastAsia="Calibri" w:hAnsi="Calibri"/>
          <w:b/>
          <w:bCs/>
          <w:color w:val="082B50"/>
          <w:sz w:val="28"/>
          <w:szCs w:val="28"/>
        </w:rPr>
        <w:t xml:space="preserve">5. Les délibérations à recopier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single" w:color="E0A52B" w:sz="24"/>
              <w:bottom w:val="none" w:color="FFFFFF" w:sz="0"/>
              <w:right w:val="none" w:color="FFFFFF" w:sz="0"/>
            </w:tcBorders>
            <w:shd w:fill="F6F8FA" w:color="auto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120" w:before="0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Conseil de chaque association : </w:t>
            </w:r>
            <w:r>
              <w:rPr>
                <w:rFonts w:ascii="Calibri" w:cs="Calibri" w:eastAsia="Calibri" w:hAnsi="Calibri"/>
                <w:i/>
                <w:iCs/>
                <w:sz w:val="21"/>
                <w:szCs w:val="21"/>
              </w:rPr>
              <w:t xml:space="preserve">« Le conseil d’administration approuve la convention de mise à disposition de locaux et de moyens conclue entre [association cultuelle X] et [association Y]. Cette convention prévoit une participation aux frais de [montant] € par an. Les administrateurs membres des deux conseils n’ont pas pris part au vote. Le conseil autorise le président à signer la convention. »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Assemblée générale de l’association cultuelle, en cas de transfert d’activités : </w:t>
            </w:r>
            <w:r>
              <w:rPr>
                <w:rFonts w:ascii="Calibri" w:cs="Calibri" w:eastAsia="Calibri" w:hAnsi="Calibri"/>
                <w:i/>
                <w:iCs/>
                <w:sz w:val="21"/>
                <w:szCs w:val="21"/>
              </w:rPr>
              <w:t xml:space="preserve">« L’assemblée générale prend acte du transfert des activités [liste] à l’association [Y], à compter du [date], afin que l’association conserve un objet exclusivement cultuel. »</w:t>
            </w:r>
          </w:p>
        </w:tc>
      </w:tr>
    </w:tbl>
    <w:p>
      <w:pPr>
        <w:spacing w:after="100" w:before="280"/>
      </w:pPr>
      <w:r>
        <w:rPr>
          <w:rFonts w:ascii="Calibri" w:cs="Calibri" w:eastAsia="Calibri" w:hAnsi="Calibri"/>
          <w:i/>
          <w:iCs/>
          <w:color w:val="6B7280"/>
          <w:sz w:val="17"/>
          <w:szCs w:val="17"/>
        </w:rPr>
        <w:t xml:space="preserve">Modèle fourni à titre indicatif, à adapter à votre situation. Ne constitue pas une consultation individualisée. Textes vérifiés le 24 septembre 2026.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280"/>
        <w:sz w:val="15"/>
        <w:szCs w:val="15"/>
      </w:rPr>
      <w:t xml:space="preserve">Samuel PETE — Mon Asso Cultuelle — E12 Kit double structure (séparation cultuel / non cultuel) — version 2026-09 — monassocultuelle.com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E12 — Kit double structure : séparer le cultuel et le non-cultuel</dc:title>
  <dc:creator>Samuel PETE</dc:creator>
  <cp:lastModifiedBy>Un-named</cp:lastModifiedBy>
  <cp:revision>1</cp:revision>
  <dcterms:created xsi:type="dcterms:W3CDTF">2026-09-24T12:15:55.384Z</dcterms:created>
  <dcterms:modified xsi:type="dcterms:W3CDTF">2026-09-24T12:15:55.384Z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